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AAFD" w14:textId="77777777" w:rsidR="00AF0BEA" w:rsidRPr="004A246D" w:rsidRDefault="00AF0BEA" w:rsidP="00AF0BEA">
      <w:pPr>
        <w:pStyle w:val="Default"/>
        <w:ind w:right="-1"/>
        <w:jc w:val="center"/>
        <w:rPr>
          <w:b/>
          <w:color w:val="auto"/>
        </w:rPr>
      </w:pPr>
      <w:bookmarkStart w:id="0" w:name="_GoBack"/>
      <w:bookmarkEnd w:id="0"/>
      <w:r w:rsidRPr="004A246D">
        <w:rPr>
          <w:b/>
          <w:color w:val="auto"/>
        </w:rPr>
        <w:t>MEMORIA JUSTIFICATIVA</w:t>
      </w:r>
    </w:p>
    <w:p w14:paraId="3B6C77F7" w14:textId="77777777" w:rsidR="00AF0BEA" w:rsidRPr="004A246D" w:rsidRDefault="00AF0BEA" w:rsidP="00AF0BEA">
      <w:pPr>
        <w:pStyle w:val="Default"/>
        <w:ind w:right="-1"/>
        <w:jc w:val="center"/>
        <w:rPr>
          <w:b/>
          <w:color w:val="auto"/>
        </w:rPr>
      </w:pPr>
    </w:p>
    <w:p w14:paraId="4B430038" w14:textId="77777777" w:rsidR="00AF0BEA" w:rsidRPr="008E4636" w:rsidRDefault="00AF0BEA" w:rsidP="004A246D">
      <w:pPr>
        <w:pStyle w:val="Default"/>
        <w:ind w:right="-1"/>
        <w:jc w:val="center"/>
        <w:rPr>
          <w:b/>
          <w:color w:val="auto"/>
        </w:rPr>
      </w:pPr>
      <w:r w:rsidRPr="008E4636">
        <w:rPr>
          <w:b/>
          <w:color w:val="auto"/>
        </w:rPr>
        <w:t>PROYECTO DE DECRETO</w:t>
      </w:r>
    </w:p>
    <w:p w14:paraId="646C34BD" w14:textId="77777777" w:rsidR="00AF0BEA" w:rsidRPr="004A246D" w:rsidRDefault="00AF0BEA" w:rsidP="00AF0BEA">
      <w:pPr>
        <w:pStyle w:val="Default"/>
        <w:ind w:right="-1"/>
        <w:jc w:val="both"/>
        <w:rPr>
          <w:b/>
          <w:color w:val="auto"/>
        </w:rPr>
      </w:pPr>
    </w:p>
    <w:p w14:paraId="2630330B" w14:textId="77777777" w:rsidR="00734714" w:rsidRDefault="004A246D" w:rsidP="008E4636">
      <w:pPr>
        <w:pStyle w:val="Default"/>
        <w:ind w:right="-1"/>
        <w:jc w:val="center"/>
        <w:rPr>
          <w:rFonts w:eastAsia="Times New Roman"/>
          <w:color w:val="auto"/>
          <w:lang w:eastAsia="es-CO"/>
        </w:rPr>
      </w:pPr>
      <w:r w:rsidRPr="004A246D">
        <w:rPr>
          <w:rFonts w:eastAsia="Times New Roman"/>
          <w:color w:val="auto"/>
          <w:lang w:eastAsia="es-CO"/>
        </w:rPr>
        <w:t xml:space="preserve">«Por el cual se reconoce el </w:t>
      </w:r>
      <w:r w:rsidR="007F4AE4">
        <w:rPr>
          <w:rFonts w:eastAsia="Times New Roman"/>
          <w:color w:val="auto"/>
          <w:lang w:eastAsia="es-CO"/>
        </w:rPr>
        <w:t>«D</w:t>
      </w:r>
      <w:r w:rsidRPr="004A246D">
        <w:rPr>
          <w:rFonts w:eastAsia="Times New Roman"/>
          <w:color w:val="auto"/>
          <w:lang w:eastAsia="es-CO"/>
        </w:rPr>
        <w:t xml:space="preserve">ía del </w:t>
      </w:r>
      <w:r w:rsidR="007F4AE4">
        <w:rPr>
          <w:rFonts w:eastAsia="Times New Roman"/>
          <w:color w:val="auto"/>
          <w:lang w:eastAsia="es-CO"/>
        </w:rPr>
        <w:t>D</w:t>
      </w:r>
      <w:r w:rsidRPr="004A246D">
        <w:rPr>
          <w:rFonts w:eastAsia="Times New Roman"/>
          <w:color w:val="auto"/>
          <w:lang w:eastAsia="es-CO"/>
        </w:rPr>
        <w:t xml:space="preserve">ocente </w:t>
      </w:r>
      <w:r w:rsidR="007F4AE4">
        <w:rPr>
          <w:rFonts w:eastAsia="Times New Roman"/>
          <w:color w:val="auto"/>
          <w:lang w:eastAsia="es-CO"/>
        </w:rPr>
        <w:t>O</w:t>
      </w:r>
      <w:r w:rsidRPr="004A246D">
        <w:rPr>
          <w:rFonts w:eastAsia="Times New Roman"/>
          <w:color w:val="auto"/>
          <w:lang w:eastAsia="es-CO"/>
        </w:rPr>
        <w:t>rientador</w:t>
      </w:r>
      <w:r w:rsidR="00B77F82">
        <w:rPr>
          <w:rFonts w:eastAsia="Times New Roman"/>
          <w:color w:val="auto"/>
          <w:lang w:eastAsia="es-CO"/>
        </w:rPr>
        <w:t>»</w:t>
      </w:r>
      <w:r w:rsidRPr="004A246D">
        <w:rPr>
          <w:rFonts w:eastAsia="Times New Roman"/>
          <w:color w:val="auto"/>
          <w:lang w:eastAsia="es-CO"/>
        </w:rPr>
        <w:t xml:space="preserve"> y se adiciona </w:t>
      </w:r>
      <w:r w:rsidR="007F4AE4">
        <w:rPr>
          <w:rFonts w:eastAsia="Times New Roman"/>
          <w:color w:val="auto"/>
          <w:lang w:eastAsia="es-CO"/>
        </w:rPr>
        <w:t>un artículo al</w:t>
      </w:r>
      <w:r w:rsidRPr="004A246D">
        <w:rPr>
          <w:rFonts w:eastAsia="Times New Roman"/>
          <w:color w:val="auto"/>
          <w:lang w:eastAsia="es-CO"/>
        </w:rPr>
        <w:t xml:space="preserve"> Decreto 107</w:t>
      </w:r>
      <w:r w:rsidRPr="00166E4D">
        <w:rPr>
          <w:rFonts w:eastAsia="Times New Roman"/>
          <w:color w:val="auto"/>
          <w:lang w:eastAsia="es-CO"/>
        </w:rPr>
        <w:t>5 de 2015 - Único Reglamentario del Sector Educación»</w:t>
      </w:r>
    </w:p>
    <w:p w14:paraId="2222F48E" w14:textId="77777777" w:rsidR="00A77438" w:rsidRPr="004A246D" w:rsidRDefault="00A77438" w:rsidP="00AF0BEA">
      <w:pPr>
        <w:pStyle w:val="Default"/>
        <w:ind w:right="-1"/>
        <w:jc w:val="both"/>
        <w:rPr>
          <w:color w:val="auto"/>
        </w:rPr>
      </w:pPr>
    </w:p>
    <w:p w14:paraId="320CB0F9" w14:textId="77777777" w:rsidR="00AF0BEA" w:rsidRPr="004A246D" w:rsidRDefault="00AF0BEA" w:rsidP="00AF0BEA">
      <w:pPr>
        <w:pStyle w:val="Prrafodelista"/>
        <w:numPr>
          <w:ilvl w:val="0"/>
          <w:numId w:val="1"/>
        </w:numPr>
        <w:ind w:right="-1"/>
        <w:jc w:val="both"/>
        <w:rPr>
          <w:rFonts w:ascii="Arial" w:hAnsi="Arial" w:cs="Arial"/>
          <w:b/>
        </w:rPr>
      </w:pPr>
      <w:r w:rsidRPr="004A246D">
        <w:rPr>
          <w:rFonts w:ascii="Arial" w:hAnsi="Arial" w:cs="Arial"/>
          <w:b/>
        </w:rPr>
        <w:t>Antecedentes y razones de oportunidad y conveniencia que justifican su expedición.</w:t>
      </w:r>
    </w:p>
    <w:p w14:paraId="2BEDFB94" w14:textId="77777777" w:rsidR="00CF05E3" w:rsidRPr="004A246D" w:rsidRDefault="00CF05E3" w:rsidP="00AF0BEA">
      <w:pPr>
        <w:pStyle w:val="CUERPOTEXTO"/>
        <w:spacing w:before="0" w:after="0" w:line="240" w:lineRule="auto"/>
        <w:ind w:firstLine="0"/>
        <w:rPr>
          <w:rFonts w:ascii="Arial" w:hAnsi="Arial" w:cs="Arial"/>
          <w:color w:val="auto"/>
          <w:sz w:val="24"/>
          <w:szCs w:val="24"/>
          <w:lang w:val="es-ES"/>
        </w:rPr>
      </w:pPr>
    </w:p>
    <w:p w14:paraId="63D91C4E" w14:textId="77777777" w:rsidR="00570D32" w:rsidRPr="004A246D" w:rsidRDefault="00570D32" w:rsidP="00570D32">
      <w:pPr>
        <w:pStyle w:val="CUERPOTEXTO"/>
        <w:tabs>
          <w:tab w:val="clear" w:pos="510"/>
          <w:tab w:val="clear" w:pos="1134"/>
        </w:tabs>
        <w:ind w:firstLine="0"/>
        <w:rPr>
          <w:rFonts w:ascii="Arial" w:hAnsi="Arial" w:cs="Arial"/>
          <w:color w:val="auto"/>
          <w:sz w:val="24"/>
          <w:szCs w:val="24"/>
          <w:lang w:val="es-ES"/>
        </w:rPr>
      </w:pPr>
      <w:r w:rsidRPr="004A246D">
        <w:rPr>
          <w:rFonts w:ascii="Arial" w:hAnsi="Arial" w:cs="Arial"/>
          <w:color w:val="auto"/>
          <w:sz w:val="24"/>
          <w:szCs w:val="24"/>
          <w:lang w:val="es-ES"/>
        </w:rPr>
        <w:t>En el marco del procedimiento señalado en el Libro 2, Parte 2, Título 2, Capítulo 4 del Decreto 1072 de 2015</w:t>
      </w:r>
      <w:r w:rsidR="007F4AE4">
        <w:rPr>
          <w:rFonts w:ascii="Arial" w:hAnsi="Arial" w:cs="Arial"/>
          <w:color w:val="auto"/>
          <w:sz w:val="24"/>
          <w:szCs w:val="24"/>
          <w:lang w:val="es-ES"/>
        </w:rPr>
        <w:t xml:space="preserve"> - </w:t>
      </w:r>
      <w:r w:rsidR="007F4AE4" w:rsidRPr="008E4636">
        <w:rPr>
          <w:rFonts w:ascii="Arial" w:hAnsi="Arial" w:cs="Arial"/>
          <w:sz w:val="24"/>
          <w:szCs w:val="24"/>
        </w:rPr>
        <w:t>Único Reglamentario del Sector Trabajo</w:t>
      </w:r>
      <w:r w:rsidRPr="007F4AE4">
        <w:rPr>
          <w:rFonts w:ascii="Arial" w:hAnsi="Arial" w:cs="Arial"/>
          <w:color w:val="auto"/>
          <w:sz w:val="24"/>
          <w:szCs w:val="24"/>
          <w:lang w:val="es-ES"/>
        </w:rPr>
        <w:t>,</w:t>
      </w:r>
      <w:r w:rsidRPr="004A246D">
        <w:rPr>
          <w:rFonts w:ascii="Arial" w:hAnsi="Arial" w:cs="Arial"/>
          <w:color w:val="auto"/>
          <w:sz w:val="24"/>
          <w:szCs w:val="24"/>
          <w:lang w:val="es-ES"/>
        </w:rPr>
        <w:t xml:space="preserve"> durante el </w:t>
      </w:r>
      <w:r w:rsidR="007F4AE4">
        <w:rPr>
          <w:rFonts w:ascii="Arial" w:hAnsi="Arial" w:cs="Arial"/>
          <w:color w:val="auto"/>
          <w:sz w:val="24"/>
          <w:szCs w:val="24"/>
          <w:lang w:val="es-ES"/>
        </w:rPr>
        <w:t xml:space="preserve">año </w:t>
      </w:r>
      <w:r w:rsidRPr="004A246D">
        <w:rPr>
          <w:rFonts w:ascii="Arial" w:hAnsi="Arial" w:cs="Arial"/>
          <w:color w:val="auto"/>
          <w:sz w:val="24"/>
          <w:szCs w:val="24"/>
          <w:lang w:val="es-ES"/>
        </w:rPr>
        <w:t>201</w:t>
      </w:r>
      <w:r w:rsidR="00A77438" w:rsidRPr="004A246D">
        <w:rPr>
          <w:rFonts w:ascii="Arial" w:hAnsi="Arial" w:cs="Arial"/>
          <w:color w:val="auto"/>
          <w:sz w:val="24"/>
          <w:szCs w:val="24"/>
          <w:lang w:val="es-ES"/>
        </w:rPr>
        <w:t>7</w:t>
      </w:r>
      <w:r w:rsidRPr="004A246D">
        <w:rPr>
          <w:rFonts w:ascii="Arial" w:hAnsi="Arial" w:cs="Arial"/>
          <w:color w:val="auto"/>
          <w:sz w:val="24"/>
          <w:szCs w:val="24"/>
          <w:lang w:val="es-ES"/>
        </w:rPr>
        <w:t xml:space="preserve"> se desarrolló un proceso de negociación entre el Ministerio de Educación Nacional y las organizaciones sindicales Unión Sindical de Directivos Docentes de Colombia - USDIDOC</w:t>
      </w:r>
      <w:r w:rsidR="00A77438" w:rsidRPr="004A246D">
        <w:rPr>
          <w:rFonts w:ascii="Arial" w:hAnsi="Arial" w:cs="Arial"/>
          <w:color w:val="auto"/>
          <w:sz w:val="24"/>
          <w:szCs w:val="24"/>
          <w:lang w:val="es-ES"/>
        </w:rPr>
        <w:t>, el</w:t>
      </w:r>
      <w:r w:rsidRPr="004A246D">
        <w:rPr>
          <w:rFonts w:ascii="Arial" w:hAnsi="Arial" w:cs="Arial"/>
          <w:color w:val="auto"/>
          <w:sz w:val="24"/>
          <w:szCs w:val="24"/>
          <w:lang w:val="es-ES"/>
        </w:rPr>
        <w:t xml:space="preserve">  Sindicato Nacional de Docentes Directivos de Colombia – SINDODIC</w:t>
      </w:r>
      <w:r w:rsidR="00A77438" w:rsidRPr="004A246D">
        <w:rPr>
          <w:rFonts w:ascii="Arial" w:hAnsi="Arial" w:cs="Arial"/>
          <w:color w:val="auto"/>
          <w:sz w:val="24"/>
          <w:szCs w:val="24"/>
          <w:lang w:val="es-ES"/>
        </w:rPr>
        <w:t xml:space="preserve">, </w:t>
      </w:r>
      <w:r w:rsidR="00861944" w:rsidRPr="004A246D">
        <w:rPr>
          <w:rFonts w:ascii="Arial" w:hAnsi="Arial" w:cs="Arial"/>
          <w:color w:val="auto"/>
          <w:sz w:val="24"/>
          <w:szCs w:val="24"/>
          <w:lang w:val="es-ES"/>
        </w:rPr>
        <w:t>el  Sindicato de Trabajadores y Empleados de la Educación Nacional – SINTRENAL y la Unión de Trabajadores de la Educ</w:t>
      </w:r>
      <w:r w:rsidR="00E315C6" w:rsidRPr="004A246D">
        <w:rPr>
          <w:rFonts w:ascii="Arial" w:hAnsi="Arial" w:cs="Arial"/>
          <w:color w:val="auto"/>
          <w:sz w:val="24"/>
          <w:szCs w:val="24"/>
          <w:lang w:val="es-ES"/>
        </w:rPr>
        <w:t>ación de Colombia – UTRADEC CGT.</w:t>
      </w:r>
    </w:p>
    <w:p w14:paraId="1B1FB760" w14:textId="77777777" w:rsidR="00A77438" w:rsidRPr="004A246D" w:rsidRDefault="00A77438" w:rsidP="00570D32">
      <w:pPr>
        <w:pStyle w:val="CUERPOTEXTO"/>
        <w:tabs>
          <w:tab w:val="clear" w:pos="510"/>
          <w:tab w:val="clear" w:pos="1134"/>
        </w:tabs>
        <w:ind w:firstLine="0"/>
        <w:rPr>
          <w:rFonts w:ascii="Arial" w:hAnsi="Arial" w:cs="Arial"/>
          <w:color w:val="auto"/>
          <w:sz w:val="24"/>
          <w:szCs w:val="24"/>
          <w:lang w:val="es-ES"/>
        </w:rPr>
      </w:pPr>
    </w:p>
    <w:p w14:paraId="2ACAABF4" w14:textId="77777777" w:rsidR="00861944" w:rsidRPr="008E4636" w:rsidRDefault="00861944" w:rsidP="00570D32">
      <w:pPr>
        <w:pStyle w:val="CUERPOTEXTO"/>
        <w:tabs>
          <w:tab w:val="clear" w:pos="510"/>
          <w:tab w:val="clear" w:pos="1134"/>
        </w:tabs>
        <w:ind w:firstLine="0"/>
        <w:rPr>
          <w:rFonts w:ascii="Arial" w:hAnsi="Arial" w:cs="Arial"/>
          <w:i/>
          <w:color w:val="auto"/>
          <w:sz w:val="24"/>
          <w:szCs w:val="24"/>
          <w:u w:val="single"/>
          <w:lang w:val="es-ES"/>
        </w:rPr>
      </w:pPr>
      <w:r w:rsidRPr="004A246D">
        <w:rPr>
          <w:rFonts w:ascii="Arial" w:hAnsi="Arial" w:cs="Arial"/>
          <w:color w:val="auto"/>
          <w:sz w:val="24"/>
          <w:szCs w:val="24"/>
          <w:lang w:val="es-ES"/>
        </w:rPr>
        <w:t xml:space="preserve">En el Capítulo 4 </w:t>
      </w:r>
      <w:r w:rsidR="004A246D" w:rsidRPr="004A246D">
        <w:rPr>
          <w:rFonts w:ascii="Arial" w:hAnsi="Arial" w:cs="Arial"/>
          <w:color w:val="auto"/>
          <w:sz w:val="24"/>
          <w:szCs w:val="24"/>
          <w:lang w:val="es-ES"/>
        </w:rPr>
        <w:t>«</w:t>
      </w:r>
      <w:r w:rsidRPr="004A246D">
        <w:rPr>
          <w:rFonts w:ascii="Arial" w:hAnsi="Arial" w:cs="Arial"/>
          <w:color w:val="auto"/>
          <w:sz w:val="24"/>
          <w:szCs w:val="24"/>
          <w:lang w:val="es-ES"/>
        </w:rPr>
        <w:t>POLITICA DE BIENESTAR SOCIAL, CULTURA, DEPORTE. RECREACIÓN Y CAPACITACION</w:t>
      </w:r>
      <w:r w:rsidR="004A246D" w:rsidRPr="004A246D">
        <w:rPr>
          <w:rFonts w:ascii="Arial" w:hAnsi="Arial" w:cs="Arial"/>
          <w:color w:val="auto"/>
          <w:sz w:val="24"/>
          <w:szCs w:val="24"/>
          <w:lang w:val="es-ES"/>
        </w:rPr>
        <w:t>»</w:t>
      </w:r>
      <w:r w:rsidRPr="004A246D">
        <w:rPr>
          <w:rFonts w:ascii="Arial" w:hAnsi="Arial" w:cs="Arial"/>
          <w:color w:val="auto"/>
          <w:sz w:val="24"/>
          <w:szCs w:val="24"/>
          <w:lang w:val="es-ES"/>
        </w:rPr>
        <w:t xml:space="preserve">, aparte 4.2 </w:t>
      </w:r>
      <w:r w:rsidR="004A246D" w:rsidRPr="004A246D">
        <w:rPr>
          <w:rFonts w:ascii="Arial" w:hAnsi="Arial" w:cs="Arial"/>
          <w:color w:val="auto"/>
          <w:sz w:val="24"/>
          <w:szCs w:val="24"/>
          <w:lang w:val="es-ES"/>
        </w:rPr>
        <w:t>«</w:t>
      </w:r>
      <w:r w:rsidRPr="004A246D">
        <w:rPr>
          <w:rFonts w:ascii="Arial" w:hAnsi="Arial" w:cs="Arial"/>
          <w:color w:val="auto"/>
          <w:sz w:val="24"/>
          <w:szCs w:val="24"/>
          <w:lang w:val="es-ES"/>
        </w:rPr>
        <w:t>CONDICIONES DEL EMPLEO. BIENESTAR Y; DIGNIFICACION DE</w:t>
      </w:r>
      <w:r w:rsidR="004A246D" w:rsidRPr="004A246D">
        <w:rPr>
          <w:rFonts w:ascii="Arial" w:hAnsi="Arial" w:cs="Arial"/>
          <w:color w:val="auto"/>
          <w:sz w:val="24"/>
          <w:szCs w:val="24"/>
          <w:lang w:val="es-ES"/>
        </w:rPr>
        <w:t xml:space="preserve"> </w:t>
      </w:r>
      <w:r w:rsidRPr="004A246D">
        <w:rPr>
          <w:rFonts w:ascii="Arial" w:hAnsi="Arial" w:cs="Arial"/>
          <w:color w:val="auto"/>
          <w:sz w:val="24"/>
          <w:szCs w:val="24"/>
          <w:lang w:val="es-ES"/>
        </w:rPr>
        <w:t>LOS DIRECTIVOS DOCENTES Y ORIENTADORES ESCOLARES</w:t>
      </w:r>
      <w:r w:rsidR="004A246D" w:rsidRPr="004A246D">
        <w:rPr>
          <w:rFonts w:ascii="Arial" w:hAnsi="Arial" w:cs="Arial"/>
          <w:color w:val="auto"/>
          <w:sz w:val="24"/>
          <w:szCs w:val="24"/>
          <w:lang w:val="es-ES"/>
        </w:rPr>
        <w:t>»</w:t>
      </w:r>
      <w:r w:rsidRPr="004A246D">
        <w:rPr>
          <w:rFonts w:ascii="Arial" w:hAnsi="Arial" w:cs="Arial"/>
          <w:color w:val="auto"/>
          <w:sz w:val="24"/>
          <w:szCs w:val="24"/>
          <w:lang w:val="es-ES"/>
        </w:rPr>
        <w:t xml:space="preserve"> del pliego </w:t>
      </w:r>
      <w:r w:rsidR="008E4636">
        <w:rPr>
          <w:rFonts w:ascii="Arial" w:hAnsi="Arial" w:cs="Arial"/>
          <w:color w:val="auto"/>
          <w:sz w:val="24"/>
          <w:szCs w:val="24"/>
          <w:lang w:val="es-ES"/>
        </w:rPr>
        <w:t xml:space="preserve">integrado </w:t>
      </w:r>
      <w:r w:rsidRPr="004A246D">
        <w:rPr>
          <w:rFonts w:ascii="Arial" w:hAnsi="Arial" w:cs="Arial"/>
          <w:color w:val="auto"/>
          <w:sz w:val="24"/>
          <w:szCs w:val="24"/>
          <w:lang w:val="es-ES"/>
        </w:rPr>
        <w:t>d</w:t>
      </w:r>
      <w:r w:rsidR="00570D32" w:rsidRPr="004A246D">
        <w:rPr>
          <w:rFonts w:ascii="Arial" w:hAnsi="Arial" w:cs="Arial"/>
          <w:color w:val="auto"/>
          <w:sz w:val="24"/>
          <w:szCs w:val="24"/>
          <w:lang w:val="es-ES"/>
        </w:rPr>
        <w:t>e solicitudes</w:t>
      </w:r>
      <w:r w:rsidRPr="004A246D">
        <w:rPr>
          <w:rFonts w:ascii="Arial" w:hAnsi="Arial" w:cs="Arial"/>
          <w:color w:val="auto"/>
          <w:sz w:val="24"/>
          <w:szCs w:val="24"/>
          <w:lang w:val="es-ES"/>
        </w:rPr>
        <w:t xml:space="preserve">, </w:t>
      </w:r>
      <w:r w:rsidR="00570D32" w:rsidRPr="004A246D">
        <w:rPr>
          <w:rFonts w:ascii="Arial" w:hAnsi="Arial" w:cs="Arial"/>
          <w:color w:val="auto"/>
          <w:sz w:val="24"/>
          <w:szCs w:val="24"/>
          <w:lang w:val="es-ES"/>
        </w:rPr>
        <w:t xml:space="preserve">las organizaciones sindicales </w:t>
      </w:r>
      <w:r w:rsidR="008E4636">
        <w:rPr>
          <w:rFonts w:ascii="Arial" w:hAnsi="Arial" w:cs="Arial"/>
          <w:color w:val="auto"/>
          <w:sz w:val="24"/>
          <w:szCs w:val="24"/>
          <w:lang w:val="es-ES"/>
        </w:rPr>
        <w:t>solicitaron</w:t>
      </w:r>
      <w:r w:rsidR="00570D32" w:rsidRPr="004A246D">
        <w:rPr>
          <w:rFonts w:ascii="Arial" w:hAnsi="Arial" w:cs="Arial"/>
          <w:color w:val="auto"/>
          <w:sz w:val="24"/>
          <w:szCs w:val="24"/>
          <w:lang w:val="es-ES"/>
        </w:rPr>
        <w:t xml:space="preserve">: </w:t>
      </w:r>
      <w:r w:rsidR="004A246D" w:rsidRPr="008E4636">
        <w:rPr>
          <w:rFonts w:ascii="Arial" w:hAnsi="Arial" w:cs="Arial"/>
          <w:i/>
          <w:color w:val="auto"/>
          <w:sz w:val="24"/>
          <w:szCs w:val="24"/>
          <w:u w:val="single"/>
          <w:lang w:val="es-ES"/>
        </w:rPr>
        <w:t>«</w:t>
      </w:r>
      <w:r w:rsidRPr="008E4636">
        <w:rPr>
          <w:rFonts w:ascii="Arial" w:hAnsi="Arial" w:cs="Arial"/>
          <w:i/>
          <w:color w:val="auto"/>
          <w:sz w:val="24"/>
          <w:szCs w:val="24"/>
          <w:u w:val="single"/>
          <w:lang w:val="es-ES"/>
        </w:rPr>
        <w:t>4.2.3. Establecer el día del Orientador Escolar, como una jornada donde se le reconozca su labor</w:t>
      </w:r>
      <w:r w:rsidR="004A246D" w:rsidRPr="008E4636">
        <w:rPr>
          <w:rFonts w:ascii="Arial" w:hAnsi="Arial" w:cs="Arial"/>
          <w:i/>
          <w:color w:val="auto"/>
          <w:sz w:val="24"/>
          <w:szCs w:val="24"/>
          <w:u w:val="single"/>
          <w:lang w:val="es-ES"/>
        </w:rPr>
        <w:t>»</w:t>
      </w:r>
    </w:p>
    <w:p w14:paraId="3C336D75" w14:textId="77777777" w:rsidR="00570D32" w:rsidRPr="004A246D" w:rsidRDefault="00570D32" w:rsidP="00570D32">
      <w:pPr>
        <w:pStyle w:val="CUERPOTEXTO"/>
        <w:tabs>
          <w:tab w:val="clear" w:pos="510"/>
          <w:tab w:val="clear" w:pos="1134"/>
        </w:tabs>
        <w:ind w:firstLine="0"/>
        <w:rPr>
          <w:rFonts w:ascii="Arial" w:hAnsi="Arial" w:cs="Arial"/>
          <w:color w:val="auto"/>
          <w:sz w:val="24"/>
          <w:szCs w:val="24"/>
          <w:lang w:val="es-ES"/>
        </w:rPr>
      </w:pPr>
    </w:p>
    <w:p w14:paraId="1BFAF5BA" w14:textId="14B5C607" w:rsidR="00861944" w:rsidRPr="00914653" w:rsidRDefault="00861944" w:rsidP="00861944">
      <w:pPr>
        <w:pStyle w:val="CUERPOTEXTO"/>
        <w:tabs>
          <w:tab w:val="clear" w:pos="510"/>
          <w:tab w:val="clear" w:pos="1134"/>
        </w:tabs>
        <w:ind w:firstLine="0"/>
        <w:rPr>
          <w:rFonts w:ascii="Arial" w:hAnsi="Arial" w:cs="Arial"/>
          <w:color w:val="auto"/>
          <w:sz w:val="24"/>
          <w:szCs w:val="24"/>
          <w:lang w:val="es-ES"/>
        </w:rPr>
      </w:pPr>
      <w:r w:rsidRPr="00166E4D">
        <w:rPr>
          <w:rFonts w:ascii="Arial" w:hAnsi="Arial" w:cs="Arial"/>
          <w:color w:val="auto"/>
          <w:sz w:val="24"/>
          <w:szCs w:val="24"/>
          <w:lang w:val="es-ES"/>
        </w:rPr>
        <w:t>En</w:t>
      </w:r>
      <w:r w:rsidR="00270F17">
        <w:rPr>
          <w:rFonts w:ascii="Arial" w:hAnsi="Arial" w:cs="Arial"/>
          <w:color w:val="auto"/>
          <w:sz w:val="24"/>
          <w:szCs w:val="24"/>
          <w:lang w:val="es-ES"/>
        </w:rPr>
        <w:t xml:space="preserve"> razón de lo anterior,</w:t>
      </w:r>
      <w:r w:rsidRPr="00166E4D">
        <w:rPr>
          <w:rFonts w:ascii="Arial" w:hAnsi="Arial" w:cs="Arial"/>
          <w:color w:val="auto"/>
          <w:sz w:val="24"/>
          <w:szCs w:val="24"/>
          <w:lang w:val="es-ES"/>
        </w:rPr>
        <w:t xml:space="preserve"> </w:t>
      </w:r>
      <w:r w:rsidR="002B4817">
        <w:rPr>
          <w:rFonts w:ascii="Arial" w:hAnsi="Arial" w:cs="Arial"/>
          <w:color w:val="auto"/>
          <w:sz w:val="24"/>
          <w:szCs w:val="24"/>
          <w:lang w:val="es-ES"/>
        </w:rPr>
        <w:t xml:space="preserve">en </w:t>
      </w:r>
      <w:r w:rsidRPr="00166E4D">
        <w:rPr>
          <w:rFonts w:ascii="Arial" w:hAnsi="Arial" w:cs="Arial"/>
          <w:color w:val="auto"/>
          <w:sz w:val="24"/>
          <w:szCs w:val="24"/>
          <w:lang w:val="es-ES"/>
        </w:rPr>
        <w:t>el</w:t>
      </w:r>
      <w:r w:rsidR="008E4636">
        <w:rPr>
          <w:rFonts w:ascii="Arial" w:hAnsi="Arial" w:cs="Arial"/>
          <w:color w:val="auto"/>
          <w:sz w:val="24"/>
          <w:szCs w:val="24"/>
          <w:lang w:val="es-ES"/>
        </w:rPr>
        <w:t xml:space="preserve"> numeral 8 del</w:t>
      </w:r>
      <w:r w:rsidRPr="00166E4D">
        <w:rPr>
          <w:rFonts w:ascii="Arial" w:hAnsi="Arial" w:cs="Arial"/>
          <w:color w:val="auto"/>
          <w:sz w:val="24"/>
          <w:szCs w:val="24"/>
          <w:lang w:val="es-ES"/>
        </w:rPr>
        <w:t xml:space="preserve"> Acuerdo Colectivo suscrito el 23 de noviembre de 2017 entre el Ministerio de Educación Nacional </w:t>
      </w:r>
      <w:r w:rsidR="00270F17">
        <w:rPr>
          <w:rFonts w:ascii="Arial" w:hAnsi="Arial" w:cs="Arial"/>
          <w:color w:val="auto"/>
          <w:sz w:val="24"/>
          <w:szCs w:val="24"/>
          <w:lang w:val="es-ES"/>
        </w:rPr>
        <w:t>y</w:t>
      </w:r>
      <w:r w:rsidR="00270F17" w:rsidRPr="00166E4D">
        <w:rPr>
          <w:rFonts w:ascii="Arial" w:hAnsi="Arial" w:cs="Arial"/>
          <w:color w:val="auto"/>
          <w:sz w:val="24"/>
          <w:szCs w:val="24"/>
          <w:lang w:val="es-ES"/>
        </w:rPr>
        <w:t xml:space="preserve"> </w:t>
      </w:r>
      <w:r w:rsidRPr="00166E4D">
        <w:rPr>
          <w:rFonts w:ascii="Arial" w:hAnsi="Arial" w:cs="Arial"/>
          <w:color w:val="auto"/>
          <w:sz w:val="24"/>
          <w:szCs w:val="24"/>
          <w:lang w:val="es-ES"/>
        </w:rPr>
        <w:t xml:space="preserve">las organizaciones sindicales citadas, se acordó que </w:t>
      </w:r>
      <w:r w:rsidR="004A246D" w:rsidRPr="00914653">
        <w:rPr>
          <w:rFonts w:ascii="Arial" w:hAnsi="Arial" w:cs="Arial"/>
          <w:i/>
          <w:color w:val="auto"/>
          <w:sz w:val="24"/>
          <w:szCs w:val="24"/>
          <w:lang w:val="es-ES"/>
        </w:rPr>
        <w:t>«</w:t>
      </w:r>
      <w:r w:rsidRPr="00914653">
        <w:rPr>
          <w:rFonts w:ascii="Arial" w:hAnsi="Arial" w:cs="Arial"/>
          <w:i/>
          <w:color w:val="auto"/>
          <w:sz w:val="24"/>
          <w:szCs w:val="24"/>
          <w:lang w:val="es-ES"/>
        </w:rPr>
        <w:t>el Gobierno Nacional declarará el 26 de febrero de cada año como DÍA DEL DOCENTE ORIENTADOR, como reconocimiento a su labor en la formación integral de sus estudiantes, en el mejoramiento del clima de convivencia escolar y en la construcción y fortalecimiento de las comunidades educativas</w:t>
      </w:r>
      <w:r w:rsidR="004A246D" w:rsidRPr="00914653">
        <w:rPr>
          <w:rFonts w:ascii="Arial" w:hAnsi="Arial" w:cs="Arial"/>
          <w:i/>
          <w:color w:val="auto"/>
          <w:sz w:val="24"/>
          <w:szCs w:val="24"/>
          <w:lang w:val="es-ES"/>
        </w:rPr>
        <w:t>»</w:t>
      </w:r>
    </w:p>
    <w:p w14:paraId="05B19A58" w14:textId="77777777" w:rsidR="00861944" w:rsidRPr="004A246D" w:rsidRDefault="00861944" w:rsidP="00861944">
      <w:pPr>
        <w:pStyle w:val="CUERPOTEXTO"/>
        <w:tabs>
          <w:tab w:val="clear" w:pos="510"/>
          <w:tab w:val="clear" w:pos="1134"/>
        </w:tabs>
        <w:ind w:firstLine="0"/>
        <w:rPr>
          <w:rFonts w:ascii="Arial" w:hAnsi="Arial" w:cs="Arial"/>
          <w:color w:val="auto"/>
          <w:sz w:val="24"/>
          <w:szCs w:val="24"/>
          <w:lang w:val="es-ES"/>
        </w:rPr>
      </w:pPr>
    </w:p>
    <w:p w14:paraId="097AD72C" w14:textId="77777777" w:rsidR="00AF0BEA" w:rsidRPr="004A246D" w:rsidRDefault="00AF0BEA" w:rsidP="00AF0BEA">
      <w:pPr>
        <w:pStyle w:val="Prrafodelista"/>
        <w:numPr>
          <w:ilvl w:val="0"/>
          <w:numId w:val="1"/>
        </w:numPr>
        <w:ind w:right="-1"/>
        <w:jc w:val="both"/>
        <w:rPr>
          <w:rFonts w:ascii="Arial" w:hAnsi="Arial" w:cs="Arial"/>
          <w:b/>
        </w:rPr>
      </w:pPr>
      <w:r w:rsidRPr="004A246D">
        <w:rPr>
          <w:rFonts w:ascii="Arial" w:hAnsi="Arial" w:cs="Arial"/>
          <w:b/>
        </w:rPr>
        <w:t>El ámbito de aplicación del respectivo acto y los sujetos a quienes va dirigido.</w:t>
      </w:r>
    </w:p>
    <w:p w14:paraId="489D651C" w14:textId="77777777" w:rsidR="00AF0BEA" w:rsidRPr="004A246D" w:rsidRDefault="00AF0BEA" w:rsidP="00CF05E3">
      <w:pPr>
        <w:pStyle w:val="NormalWeb"/>
        <w:spacing w:before="0" w:beforeAutospacing="0" w:after="0" w:afterAutospacing="0"/>
        <w:ind w:right="-1"/>
        <w:rPr>
          <w:rFonts w:ascii="Arial" w:eastAsia="Times New Roman" w:hAnsi="Arial" w:cs="Arial"/>
        </w:rPr>
      </w:pPr>
    </w:p>
    <w:p w14:paraId="593CD0DE" w14:textId="33DADE4E" w:rsidR="00595FC1" w:rsidRDefault="00926654" w:rsidP="00503A6C">
      <w:pPr>
        <w:pStyle w:val="CUERPOTEXTO"/>
        <w:spacing w:before="0" w:after="0" w:line="240" w:lineRule="auto"/>
        <w:ind w:firstLine="0"/>
        <w:rPr>
          <w:rFonts w:ascii="Arial" w:hAnsi="Arial" w:cs="Arial"/>
          <w:color w:val="auto"/>
          <w:sz w:val="24"/>
          <w:szCs w:val="24"/>
          <w:lang w:val="es-ES"/>
        </w:rPr>
      </w:pPr>
      <w:r w:rsidRPr="00926654">
        <w:rPr>
          <w:rFonts w:ascii="Arial" w:hAnsi="Arial" w:cs="Arial"/>
          <w:color w:val="auto"/>
          <w:sz w:val="24"/>
          <w:szCs w:val="24"/>
          <w:lang w:val="es-ES_tradnl"/>
        </w:rPr>
        <w:t xml:space="preserve">El presente </w:t>
      </w:r>
      <w:r w:rsidR="00270F17">
        <w:rPr>
          <w:rFonts w:ascii="Arial" w:hAnsi="Arial" w:cs="Arial"/>
          <w:color w:val="auto"/>
          <w:sz w:val="24"/>
          <w:szCs w:val="24"/>
          <w:lang w:val="es-ES_tradnl"/>
        </w:rPr>
        <w:t>d</w:t>
      </w:r>
      <w:r w:rsidRPr="00926654">
        <w:rPr>
          <w:rFonts w:ascii="Arial" w:hAnsi="Arial" w:cs="Arial"/>
          <w:color w:val="auto"/>
          <w:sz w:val="24"/>
          <w:szCs w:val="24"/>
          <w:lang w:val="es-ES_tradnl"/>
        </w:rPr>
        <w:t xml:space="preserve">ecreto aplica </w:t>
      </w:r>
      <w:r w:rsidR="00872B93" w:rsidRPr="004A246D">
        <w:rPr>
          <w:rFonts w:ascii="Arial" w:hAnsi="Arial" w:cs="Arial"/>
          <w:color w:val="auto"/>
          <w:sz w:val="24"/>
          <w:szCs w:val="24"/>
          <w:lang w:val="es-ES"/>
        </w:rPr>
        <w:t xml:space="preserve">a los </w:t>
      </w:r>
      <w:r w:rsidR="00270F17">
        <w:rPr>
          <w:rFonts w:ascii="Arial" w:hAnsi="Arial" w:cs="Arial"/>
          <w:color w:val="auto"/>
          <w:sz w:val="24"/>
          <w:szCs w:val="24"/>
          <w:lang w:val="es-ES"/>
        </w:rPr>
        <w:t>D</w:t>
      </w:r>
      <w:r w:rsidR="00861944" w:rsidRPr="004A246D">
        <w:rPr>
          <w:rFonts w:ascii="Arial" w:hAnsi="Arial" w:cs="Arial"/>
          <w:color w:val="auto"/>
          <w:sz w:val="24"/>
          <w:szCs w:val="24"/>
          <w:lang w:val="es-ES"/>
        </w:rPr>
        <w:t xml:space="preserve">ocentes </w:t>
      </w:r>
      <w:r w:rsidR="00270F17">
        <w:rPr>
          <w:rFonts w:ascii="Arial" w:hAnsi="Arial" w:cs="Arial"/>
          <w:color w:val="auto"/>
          <w:sz w:val="24"/>
          <w:szCs w:val="24"/>
          <w:lang w:val="es-ES"/>
        </w:rPr>
        <w:t>O</w:t>
      </w:r>
      <w:r w:rsidR="00861944" w:rsidRPr="004A246D">
        <w:rPr>
          <w:rFonts w:ascii="Arial" w:hAnsi="Arial" w:cs="Arial"/>
          <w:color w:val="auto"/>
          <w:sz w:val="24"/>
          <w:szCs w:val="24"/>
          <w:lang w:val="es-ES"/>
        </w:rPr>
        <w:t>rientadores</w:t>
      </w:r>
      <w:r w:rsidR="00CF05E3" w:rsidRPr="004A246D">
        <w:rPr>
          <w:rFonts w:ascii="Arial" w:hAnsi="Arial" w:cs="Arial"/>
          <w:color w:val="auto"/>
          <w:sz w:val="24"/>
          <w:szCs w:val="24"/>
          <w:lang w:val="es-ES"/>
        </w:rPr>
        <w:t xml:space="preserve"> </w:t>
      </w:r>
      <w:r w:rsidR="00270F17">
        <w:rPr>
          <w:rFonts w:ascii="Arial" w:hAnsi="Arial" w:cs="Arial"/>
          <w:color w:val="auto"/>
          <w:sz w:val="24"/>
          <w:szCs w:val="24"/>
          <w:lang w:val="es-ES"/>
        </w:rPr>
        <w:t xml:space="preserve">y </w:t>
      </w:r>
      <w:r w:rsidR="00CE39BC">
        <w:rPr>
          <w:rFonts w:ascii="Arial" w:hAnsi="Arial" w:cs="Arial"/>
          <w:color w:val="auto"/>
          <w:sz w:val="24"/>
          <w:szCs w:val="24"/>
          <w:lang w:val="es-ES"/>
        </w:rPr>
        <w:t xml:space="preserve">las </w:t>
      </w:r>
      <w:r w:rsidR="00CF05E3" w:rsidRPr="004A246D">
        <w:rPr>
          <w:rFonts w:ascii="Arial" w:hAnsi="Arial" w:cs="Arial"/>
          <w:color w:val="auto"/>
          <w:sz w:val="24"/>
          <w:szCs w:val="24"/>
          <w:lang w:val="es-ES"/>
        </w:rPr>
        <w:t>instituciones educativas</w:t>
      </w:r>
      <w:r w:rsidR="00270F17">
        <w:rPr>
          <w:rFonts w:ascii="Arial" w:hAnsi="Arial" w:cs="Arial"/>
          <w:color w:val="auto"/>
          <w:sz w:val="24"/>
          <w:szCs w:val="24"/>
          <w:lang w:val="es-ES"/>
        </w:rPr>
        <w:t xml:space="preserve"> de carácter</w:t>
      </w:r>
      <w:r w:rsidR="00CF05E3" w:rsidRPr="004A246D">
        <w:rPr>
          <w:rFonts w:ascii="Arial" w:hAnsi="Arial" w:cs="Arial"/>
          <w:color w:val="auto"/>
          <w:sz w:val="24"/>
          <w:szCs w:val="24"/>
          <w:lang w:val="es-ES"/>
        </w:rPr>
        <w:t xml:space="preserve"> </w:t>
      </w:r>
      <w:r w:rsidR="00595FC1" w:rsidRPr="004A246D">
        <w:rPr>
          <w:rFonts w:ascii="Arial" w:hAnsi="Arial" w:cs="Arial"/>
          <w:color w:val="auto"/>
          <w:sz w:val="24"/>
          <w:szCs w:val="24"/>
          <w:lang w:val="es-ES"/>
        </w:rPr>
        <w:t>oficial</w:t>
      </w:r>
      <w:r w:rsidR="00270F17">
        <w:rPr>
          <w:rFonts w:ascii="Arial" w:hAnsi="Arial" w:cs="Arial"/>
          <w:color w:val="auto"/>
          <w:sz w:val="24"/>
          <w:szCs w:val="24"/>
          <w:lang w:val="es-ES"/>
        </w:rPr>
        <w:t>.</w:t>
      </w:r>
    </w:p>
    <w:p w14:paraId="0D25AB7E" w14:textId="77777777" w:rsidR="00AF0BEA" w:rsidRPr="00A80E6E" w:rsidRDefault="00AF0BEA" w:rsidP="00AF0BEA">
      <w:pPr>
        <w:pStyle w:val="NormalWeb"/>
        <w:spacing w:before="0" w:beforeAutospacing="0" w:after="0" w:afterAutospacing="0"/>
        <w:ind w:right="-1"/>
        <w:jc w:val="both"/>
        <w:rPr>
          <w:rFonts w:ascii="Arial" w:eastAsia="Cambria" w:hAnsi="Arial" w:cs="Arial"/>
          <w:lang w:eastAsia="en-US"/>
        </w:rPr>
      </w:pPr>
    </w:p>
    <w:p w14:paraId="7930C840" w14:textId="77777777" w:rsidR="00AF0BEA" w:rsidRPr="004A246D" w:rsidRDefault="00AF0BEA" w:rsidP="00AF0BEA">
      <w:pPr>
        <w:pStyle w:val="Prrafodelista"/>
        <w:numPr>
          <w:ilvl w:val="0"/>
          <w:numId w:val="1"/>
        </w:numPr>
        <w:ind w:right="-1"/>
        <w:jc w:val="both"/>
        <w:rPr>
          <w:rFonts w:ascii="Arial" w:hAnsi="Arial" w:cs="Arial"/>
          <w:b/>
        </w:rPr>
      </w:pPr>
      <w:r w:rsidRPr="004A246D">
        <w:rPr>
          <w:rFonts w:ascii="Arial" w:hAnsi="Arial" w:cs="Arial"/>
          <w:b/>
        </w:rPr>
        <w:t>La viabilidad jurídica</w:t>
      </w:r>
    </w:p>
    <w:p w14:paraId="5F7F4A64" w14:textId="77777777" w:rsidR="00AF0BEA" w:rsidRPr="004A246D" w:rsidRDefault="00AF0BEA" w:rsidP="00AF0BEA">
      <w:pPr>
        <w:ind w:right="-1"/>
        <w:jc w:val="both"/>
        <w:rPr>
          <w:rFonts w:ascii="Arial" w:hAnsi="Arial" w:cs="Arial"/>
        </w:rPr>
      </w:pPr>
    </w:p>
    <w:p w14:paraId="3155C402" w14:textId="1673CB69" w:rsidR="00AF0BEA" w:rsidRPr="004A246D" w:rsidRDefault="00AF0BEA" w:rsidP="00503A6C">
      <w:pPr>
        <w:pStyle w:val="Prrafodelista"/>
        <w:ind w:left="567" w:hanging="567"/>
        <w:jc w:val="both"/>
        <w:rPr>
          <w:rFonts w:ascii="Arial" w:hAnsi="Arial" w:cs="Arial"/>
          <w:b/>
        </w:rPr>
      </w:pPr>
      <w:r w:rsidRPr="004A246D">
        <w:rPr>
          <w:rFonts w:ascii="Arial" w:hAnsi="Arial" w:cs="Arial"/>
          <w:b/>
        </w:rPr>
        <w:t xml:space="preserve">3.1. </w:t>
      </w:r>
      <w:r w:rsidR="00503A6C" w:rsidRPr="004A246D">
        <w:rPr>
          <w:rFonts w:ascii="Arial" w:hAnsi="Arial" w:cs="Arial"/>
          <w:b/>
        </w:rPr>
        <w:tab/>
      </w:r>
      <w:r w:rsidR="00CB1998">
        <w:rPr>
          <w:rFonts w:ascii="Arial" w:hAnsi="Arial" w:cs="Arial"/>
          <w:b/>
          <w:lang w:val="es-ES_tradnl"/>
        </w:rPr>
        <w:t>N</w:t>
      </w:r>
      <w:r w:rsidR="00505390" w:rsidRPr="00505390">
        <w:rPr>
          <w:rFonts w:ascii="Arial" w:hAnsi="Arial" w:cs="Arial"/>
          <w:b/>
          <w:lang w:val="es-ES_tradnl"/>
        </w:rPr>
        <w:t>ormas que otorgan la competencia</w:t>
      </w:r>
      <w:r w:rsidRPr="004A246D">
        <w:rPr>
          <w:rFonts w:ascii="Arial" w:hAnsi="Arial" w:cs="Arial"/>
          <w:b/>
        </w:rPr>
        <w:t>.</w:t>
      </w:r>
    </w:p>
    <w:p w14:paraId="424D46DC" w14:textId="77777777" w:rsidR="00AF0BEA" w:rsidRPr="004A246D" w:rsidRDefault="00AF0BEA" w:rsidP="00AF0BEA">
      <w:pPr>
        <w:jc w:val="both"/>
        <w:rPr>
          <w:rFonts w:ascii="Arial" w:hAnsi="Arial" w:cs="Arial"/>
          <w:i/>
          <w:highlight w:val="yellow"/>
        </w:rPr>
      </w:pPr>
    </w:p>
    <w:p w14:paraId="29A4405D" w14:textId="77777777" w:rsidR="00AF0BEA" w:rsidRDefault="00CB1998" w:rsidP="00503A6C">
      <w:pPr>
        <w:jc w:val="both"/>
        <w:rPr>
          <w:rFonts w:ascii="Arial" w:hAnsi="Arial" w:cs="Arial"/>
        </w:rPr>
      </w:pPr>
      <w:r w:rsidRPr="00E81538">
        <w:rPr>
          <w:rFonts w:ascii="Arial" w:hAnsi="Arial" w:cs="Arial"/>
          <w:b/>
        </w:rPr>
        <w:t>3.1.1.</w:t>
      </w:r>
      <w:r>
        <w:rPr>
          <w:rFonts w:ascii="Arial" w:hAnsi="Arial" w:cs="Arial"/>
        </w:rPr>
        <w:t xml:space="preserve"> </w:t>
      </w:r>
      <w:r w:rsidR="00AF0BEA" w:rsidRPr="004A246D">
        <w:rPr>
          <w:rFonts w:ascii="Arial" w:hAnsi="Arial" w:cs="Arial"/>
        </w:rPr>
        <w:t xml:space="preserve">El artículo 189 de la Constitución Política en su numeral 11 establece que corresponde al Presidente de la República, ejercer la potestad reglamentaria, mediante </w:t>
      </w:r>
      <w:r w:rsidR="00AF0BEA" w:rsidRPr="004A246D">
        <w:rPr>
          <w:rFonts w:ascii="Arial" w:hAnsi="Arial" w:cs="Arial"/>
        </w:rPr>
        <w:lastRenderedPageBreak/>
        <w:t xml:space="preserve">la expedición de los decretos, resoluciones y órdenes necesarios para la cumplida ejecución de las leyes. </w:t>
      </w:r>
    </w:p>
    <w:p w14:paraId="1D45EC7B" w14:textId="77777777" w:rsidR="00CB1998" w:rsidRDefault="00CB1998" w:rsidP="00503A6C">
      <w:pPr>
        <w:jc w:val="both"/>
        <w:rPr>
          <w:rFonts w:ascii="Arial" w:hAnsi="Arial" w:cs="Arial"/>
        </w:rPr>
      </w:pPr>
    </w:p>
    <w:p w14:paraId="0BFA8CDA" w14:textId="77C5CF48" w:rsidR="00AF0BEA" w:rsidRDefault="00CB1998" w:rsidP="00503A6C">
      <w:pPr>
        <w:jc w:val="both"/>
        <w:rPr>
          <w:rFonts w:ascii="Arial" w:hAnsi="Arial" w:cs="Arial"/>
        </w:rPr>
      </w:pPr>
      <w:r w:rsidRPr="00E81538">
        <w:rPr>
          <w:rFonts w:ascii="Arial" w:hAnsi="Arial" w:cs="Arial"/>
          <w:b/>
        </w:rPr>
        <w:t>3.1.</w:t>
      </w:r>
      <w:r>
        <w:rPr>
          <w:rFonts w:ascii="Arial" w:hAnsi="Arial" w:cs="Arial"/>
          <w:b/>
        </w:rPr>
        <w:t>2</w:t>
      </w:r>
      <w:r w:rsidRPr="00E81538">
        <w:rPr>
          <w:rFonts w:ascii="Arial" w:hAnsi="Arial" w:cs="Arial"/>
          <w:b/>
        </w:rPr>
        <w:t>.</w:t>
      </w:r>
      <w:r>
        <w:rPr>
          <w:rFonts w:ascii="Arial" w:hAnsi="Arial" w:cs="Arial"/>
        </w:rPr>
        <w:t xml:space="preserve"> E</w:t>
      </w:r>
      <w:r w:rsidR="00A60165" w:rsidRPr="004A246D">
        <w:rPr>
          <w:rFonts w:ascii="Arial" w:hAnsi="Arial" w:cs="Arial"/>
        </w:rPr>
        <w:t xml:space="preserve">l </w:t>
      </w:r>
      <w:r w:rsidRPr="004A246D">
        <w:rPr>
          <w:rFonts w:ascii="Arial" w:hAnsi="Arial" w:cs="Arial"/>
        </w:rPr>
        <w:t>Capítulo 4</w:t>
      </w:r>
      <w:r>
        <w:rPr>
          <w:rFonts w:ascii="Arial" w:hAnsi="Arial" w:cs="Arial"/>
        </w:rPr>
        <w:t>,</w:t>
      </w:r>
      <w:r w:rsidRPr="004A246D">
        <w:rPr>
          <w:rFonts w:ascii="Arial" w:hAnsi="Arial" w:cs="Arial"/>
        </w:rPr>
        <w:t xml:space="preserve"> Título 2</w:t>
      </w:r>
      <w:r>
        <w:rPr>
          <w:rFonts w:ascii="Arial" w:hAnsi="Arial" w:cs="Arial"/>
        </w:rPr>
        <w:t xml:space="preserve">, </w:t>
      </w:r>
      <w:r w:rsidRPr="004A246D">
        <w:rPr>
          <w:rFonts w:ascii="Arial" w:hAnsi="Arial" w:cs="Arial"/>
        </w:rPr>
        <w:t>Parte 2</w:t>
      </w:r>
      <w:r>
        <w:rPr>
          <w:rFonts w:ascii="Arial" w:hAnsi="Arial" w:cs="Arial"/>
        </w:rPr>
        <w:t xml:space="preserve">, </w:t>
      </w:r>
      <w:r w:rsidR="00A60165" w:rsidRPr="004A246D">
        <w:rPr>
          <w:rFonts w:ascii="Arial" w:hAnsi="Arial" w:cs="Arial"/>
        </w:rPr>
        <w:t xml:space="preserve">Libro 2 del Decreto 1072 de 2015, </w:t>
      </w:r>
      <w:r w:rsidR="00103D1B" w:rsidRPr="004A246D">
        <w:rPr>
          <w:rFonts w:ascii="Arial" w:hAnsi="Arial" w:cs="Arial"/>
        </w:rPr>
        <w:t xml:space="preserve">regula </w:t>
      </w:r>
      <w:r w:rsidR="00A60165" w:rsidRPr="004A246D">
        <w:rPr>
          <w:rFonts w:ascii="Arial" w:hAnsi="Arial" w:cs="Arial"/>
        </w:rPr>
        <w:t>lo relativo a los procedimientos de negociación y solución de controversias con las organizaciones de</w:t>
      </w:r>
      <w:r w:rsidR="00103D1B" w:rsidRPr="004A246D">
        <w:rPr>
          <w:rFonts w:ascii="Arial" w:hAnsi="Arial" w:cs="Arial"/>
        </w:rPr>
        <w:t xml:space="preserve"> </w:t>
      </w:r>
      <w:r w:rsidR="00A60165" w:rsidRPr="004A246D">
        <w:rPr>
          <w:rFonts w:ascii="Arial" w:hAnsi="Arial" w:cs="Arial"/>
        </w:rPr>
        <w:t>empleados públicos</w:t>
      </w:r>
      <w:r w:rsidR="00103D1B" w:rsidRPr="004A246D">
        <w:rPr>
          <w:rFonts w:ascii="Arial" w:hAnsi="Arial" w:cs="Arial"/>
        </w:rPr>
        <w:t>, estableci</w:t>
      </w:r>
      <w:r w:rsidR="004A246D">
        <w:rPr>
          <w:rFonts w:ascii="Arial" w:hAnsi="Arial" w:cs="Arial"/>
        </w:rPr>
        <w:t>endo</w:t>
      </w:r>
      <w:r w:rsidR="002B4817">
        <w:rPr>
          <w:rFonts w:ascii="Arial" w:hAnsi="Arial" w:cs="Arial"/>
        </w:rPr>
        <w:t xml:space="preserve"> en su artículo 2.2.2.4.13</w:t>
      </w:r>
      <w:r w:rsidR="00103D1B" w:rsidRPr="004A246D">
        <w:rPr>
          <w:rFonts w:ascii="Arial" w:hAnsi="Arial" w:cs="Arial"/>
        </w:rPr>
        <w:t xml:space="preserve"> que todo </w:t>
      </w:r>
      <w:r w:rsidR="00103D1B" w:rsidRPr="00166E4D">
        <w:rPr>
          <w:rFonts w:ascii="Arial" w:hAnsi="Arial" w:cs="Arial"/>
        </w:rPr>
        <w:t>lo acordado debe elevarse a un acto administrativo</w:t>
      </w:r>
      <w:r>
        <w:rPr>
          <w:rFonts w:ascii="Arial" w:hAnsi="Arial" w:cs="Arial"/>
        </w:rPr>
        <w:t>.</w:t>
      </w:r>
    </w:p>
    <w:p w14:paraId="25FA47C9" w14:textId="77777777" w:rsidR="00A43581" w:rsidRDefault="00A43581" w:rsidP="00503A6C">
      <w:pPr>
        <w:jc w:val="both"/>
        <w:rPr>
          <w:rFonts w:ascii="Arial" w:hAnsi="Arial" w:cs="Arial"/>
        </w:rPr>
      </w:pPr>
    </w:p>
    <w:p w14:paraId="0DA0B387" w14:textId="569908F7" w:rsidR="00A43581" w:rsidRPr="00E178A8" w:rsidRDefault="00A43581" w:rsidP="00503A6C">
      <w:pPr>
        <w:jc w:val="both"/>
        <w:rPr>
          <w:rFonts w:ascii="Arial" w:hAnsi="Arial" w:cs="Arial"/>
          <w:b/>
        </w:rPr>
      </w:pPr>
      <w:r w:rsidRPr="00E178A8">
        <w:rPr>
          <w:rFonts w:ascii="Arial" w:hAnsi="Arial" w:cs="Arial"/>
          <w:b/>
        </w:rPr>
        <w:t>3.1.3</w:t>
      </w:r>
      <w:r>
        <w:rPr>
          <w:rFonts w:ascii="Arial" w:hAnsi="Arial" w:cs="Arial"/>
          <w:b/>
        </w:rPr>
        <w:t xml:space="preserve"> </w:t>
      </w:r>
      <w:r w:rsidR="00054DD7" w:rsidRPr="00E178A8">
        <w:rPr>
          <w:rFonts w:ascii="Arial" w:hAnsi="Arial" w:cs="Arial"/>
        </w:rPr>
        <w:t>El i</w:t>
      </w:r>
      <w:r w:rsidRPr="00E178A8">
        <w:rPr>
          <w:rFonts w:ascii="Arial" w:hAnsi="Arial" w:cs="Arial"/>
        </w:rPr>
        <w:t xml:space="preserve">nciso 2 del artículo 49 del Decreto Ley 1278 de </w:t>
      </w:r>
      <w:r w:rsidR="00054DD7" w:rsidRPr="00E178A8">
        <w:rPr>
          <w:rFonts w:ascii="Arial" w:hAnsi="Arial" w:cs="Arial"/>
        </w:rPr>
        <w:t>2002,</w:t>
      </w:r>
      <w:r w:rsidRPr="00E178A8">
        <w:rPr>
          <w:rFonts w:ascii="Arial" w:hAnsi="Arial" w:cs="Arial"/>
        </w:rPr>
        <w:t xml:space="preserve"> </w:t>
      </w:r>
      <w:r w:rsidR="00054DD7" w:rsidRPr="00E178A8">
        <w:rPr>
          <w:rFonts w:ascii="Arial" w:hAnsi="Arial" w:cs="Arial"/>
        </w:rPr>
        <w:t>consagra</w:t>
      </w:r>
      <w:r w:rsidRPr="00E178A8">
        <w:rPr>
          <w:rFonts w:ascii="Arial" w:hAnsi="Arial" w:cs="Arial"/>
        </w:rPr>
        <w:t xml:space="preserve"> que</w:t>
      </w:r>
      <w:r w:rsidR="00054DD7" w:rsidRPr="00E178A8">
        <w:rPr>
          <w:rFonts w:ascii="Arial" w:hAnsi="Arial" w:cs="Arial"/>
        </w:rPr>
        <w:t xml:space="preserve"> el Gobierno nacional podrá establecer otros incentivos de acuerdo con la Ley.</w:t>
      </w:r>
    </w:p>
    <w:p w14:paraId="6913FCC9" w14:textId="77777777" w:rsidR="00AF0BEA" w:rsidRPr="004A246D" w:rsidRDefault="00AF0BEA" w:rsidP="00AF0BEA">
      <w:pPr>
        <w:jc w:val="both"/>
        <w:rPr>
          <w:rFonts w:ascii="Arial" w:hAnsi="Arial" w:cs="Arial"/>
        </w:rPr>
      </w:pPr>
    </w:p>
    <w:p w14:paraId="3ED59472" w14:textId="77777777" w:rsidR="00AF0BEA" w:rsidRPr="004A246D" w:rsidRDefault="00AF0BEA" w:rsidP="00EB2570">
      <w:pPr>
        <w:pStyle w:val="Prrafodelista"/>
        <w:ind w:left="567" w:hanging="567"/>
        <w:jc w:val="both"/>
        <w:rPr>
          <w:rFonts w:ascii="Arial" w:hAnsi="Arial" w:cs="Arial"/>
          <w:b/>
        </w:rPr>
      </w:pPr>
      <w:r w:rsidRPr="004A246D">
        <w:rPr>
          <w:rFonts w:ascii="Arial" w:hAnsi="Arial" w:cs="Arial"/>
          <w:b/>
        </w:rPr>
        <w:t xml:space="preserve">3.2. </w:t>
      </w:r>
      <w:r w:rsidR="00EB2570" w:rsidRPr="004A246D">
        <w:rPr>
          <w:rFonts w:ascii="Arial" w:hAnsi="Arial" w:cs="Arial"/>
          <w:b/>
        </w:rPr>
        <w:tab/>
      </w:r>
      <w:r w:rsidRPr="004A246D">
        <w:rPr>
          <w:rFonts w:ascii="Arial" w:hAnsi="Arial" w:cs="Arial"/>
          <w:b/>
        </w:rPr>
        <w:t>Vigencia de la ley o norma reglamentada o desarrollada.</w:t>
      </w:r>
    </w:p>
    <w:p w14:paraId="22ACA2B2" w14:textId="77777777" w:rsidR="00AF0BEA" w:rsidRPr="004A246D" w:rsidRDefault="00AF0BEA" w:rsidP="00AF0BEA">
      <w:pPr>
        <w:jc w:val="both"/>
        <w:rPr>
          <w:rFonts w:ascii="Arial" w:hAnsi="Arial" w:cs="Arial"/>
          <w:i/>
        </w:rPr>
      </w:pPr>
    </w:p>
    <w:p w14:paraId="53EA52DE" w14:textId="77777777" w:rsidR="00CB1998" w:rsidRDefault="00DD309F" w:rsidP="00AF0BEA">
      <w:pPr>
        <w:jc w:val="both"/>
        <w:rPr>
          <w:rFonts w:ascii="Arial" w:hAnsi="Arial" w:cs="Arial"/>
        </w:rPr>
      </w:pPr>
      <w:r>
        <w:rPr>
          <w:rFonts w:ascii="Arial" w:hAnsi="Arial" w:cs="Arial"/>
        </w:rPr>
        <w:t>La Ley 411 de 1997 y e</w:t>
      </w:r>
      <w:r w:rsidR="00CB1998" w:rsidRPr="004A246D">
        <w:rPr>
          <w:rFonts w:ascii="Arial" w:hAnsi="Arial" w:cs="Arial"/>
        </w:rPr>
        <w:t>l Decreto 1072 de 2015</w:t>
      </w:r>
      <w:r w:rsidR="00CB1998">
        <w:rPr>
          <w:rFonts w:ascii="Arial" w:hAnsi="Arial" w:cs="Arial"/>
        </w:rPr>
        <w:t>, se encuentra</w:t>
      </w:r>
      <w:r>
        <w:rPr>
          <w:rFonts w:ascii="Arial" w:hAnsi="Arial" w:cs="Arial"/>
        </w:rPr>
        <w:t>n</w:t>
      </w:r>
      <w:r w:rsidR="00CB1998">
        <w:rPr>
          <w:rFonts w:ascii="Arial" w:hAnsi="Arial" w:cs="Arial"/>
        </w:rPr>
        <w:t xml:space="preserve"> vigente.</w:t>
      </w:r>
    </w:p>
    <w:p w14:paraId="6149470E" w14:textId="488F5C1E" w:rsidR="00AF0BEA" w:rsidRPr="004A246D" w:rsidRDefault="00AF0BEA" w:rsidP="00AF0BEA">
      <w:pPr>
        <w:jc w:val="both"/>
        <w:rPr>
          <w:rFonts w:ascii="Arial" w:hAnsi="Arial" w:cs="Arial"/>
          <w:highlight w:val="yellow"/>
        </w:rPr>
      </w:pPr>
    </w:p>
    <w:p w14:paraId="5337E137" w14:textId="77777777" w:rsidR="000C10B5" w:rsidRPr="004A246D" w:rsidRDefault="00AF0BEA" w:rsidP="00EB2570">
      <w:pPr>
        <w:ind w:left="567" w:hanging="567"/>
        <w:jc w:val="both"/>
        <w:rPr>
          <w:rFonts w:ascii="Arial" w:hAnsi="Arial" w:cs="Arial"/>
          <w:b/>
        </w:rPr>
      </w:pPr>
      <w:r w:rsidRPr="004A246D">
        <w:rPr>
          <w:rFonts w:ascii="Arial" w:hAnsi="Arial" w:cs="Arial"/>
          <w:b/>
        </w:rPr>
        <w:t>3.3</w:t>
      </w:r>
      <w:r w:rsidR="000C10B5" w:rsidRPr="004A246D">
        <w:rPr>
          <w:rFonts w:ascii="Arial" w:hAnsi="Arial" w:cs="Arial"/>
          <w:b/>
        </w:rPr>
        <w:t xml:space="preserve">. </w:t>
      </w:r>
      <w:r w:rsidR="00EB2570" w:rsidRPr="004A246D">
        <w:rPr>
          <w:rFonts w:ascii="Arial" w:hAnsi="Arial" w:cs="Arial"/>
          <w:b/>
        </w:rPr>
        <w:tab/>
      </w:r>
      <w:r w:rsidRPr="004A246D">
        <w:rPr>
          <w:rFonts w:ascii="Arial" w:hAnsi="Arial" w:cs="Arial"/>
          <w:b/>
        </w:rPr>
        <w:t>Las disposiciones derogadas, subrogadas, modificadas, adicionadas o sustituidas</w:t>
      </w:r>
      <w:r w:rsidR="000C10B5" w:rsidRPr="004A246D">
        <w:rPr>
          <w:rFonts w:ascii="Arial" w:hAnsi="Arial" w:cs="Arial"/>
          <w:b/>
        </w:rPr>
        <w:t>.</w:t>
      </w:r>
    </w:p>
    <w:p w14:paraId="21C7E1DC" w14:textId="77777777" w:rsidR="00AF0BEA" w:rsidRPr="004A246D" w:rsidRDefault="00AF0BEA" w:rsidP="00AF0BEA">
      <w:pPr>
        <w:pStyle w:val="Prrafodelista"/>
        <w:jc w:val="both"/>
        <w:rPr>
          <w:rFonts w:ascii="Arial" w:hAnsi="Arial" w:cs="Arial"/>
        </w:rPr>
      </w:pPr>
    </w:p>
    <w:p w14:paraId="0C307776" w14:textId="0241DC2F" w:rsidR="00422BA8" w:rsidRPr="00166E4D" w:rsidRDefault="002B4817" w:rsidP="00503A6C">
      <w:pPr>
        <w:widowControl w:val="0"/>
        <w:autoSpaceDE w:val="0"/>
        <w:autoSpaceDN w:val="0"/>
        <w:adjustRightInd w:val="0"/>
        <w:spacing w:after="240"/>
        <w:jc w:val="both"/>
        <w:rPr>
          <w:rFonts w:ascii="Arial" w:hAnsi="Arial" w:cs="Arial"/>
        </w:rPr>
      </w:pPr>
      <w:r>
        <w:rPr>
          <w:rFonts w:ascii="Arial" w:hAnsi="Arial" w:cs="Arial"/>
        </w:rPr>
        <w:t>Mediante</w:t>
      </w:r>
      <w:r w:rsidR="00D66C7E" w:rsidRPr="00D66C7E">
        <w:rPr>
          <w:rFonts w:ascii="Arial" w:hAnsi="Arial" w:cs="Arial"/>
        </w:rPr>
        <w:t xml:space="preserve"> el</w:t>
      </w:r>
      <w:r>
        <w:rPr>
          <w:rFonts w:ascii="Arial" w:hAnsi="Arial" w:cs="Arial"/>
        </w:rPr>
        <w:t xml:space="preserve"> presente</w:t>
      </w:r>
      <w:r w:rsidR="00D66C7E" w:rsidRPr="00D66C7E">
        <w:rPr>
          <w:rFonts w:ascii="Arial" w:hAnsi="Arial" w:cs="Arial"/>
        </w:rPr>
        <w:t xml:space="preserve"> proyecto de decreto,</w:t>
      </w:r>
      <w:r>
        <w:rPr>
          <w:rFonts w:ascii="Arial" w:hAnsi="Arial" w:cs="Arial"/>
        </w:rPr>
        <w:t xml:space="preserve"> se adiciona un artículo al </w:t>
      </w:r>
      <w:r w:rsidRPr="002B4817">
        <w:rPr>
          <w:rFonts w:ascii="Arial" w:hAnsi="Arial" w:cs="Arial"/>
        </w:rPr>
        <w:t>Capítulo 1, Título 8, Parte 3 del Libro 2</w:t>
      </w:r>
      <w:r w:rsidR="00D66C7E" w:rsidRPr="00D66C7E">
        <w:rPr>
          <w:rFonts w:ascii="Arial" w:hAnsi="Arial" w:cs="Arial"/>
        </w:rPr>
        <w:t xml:space="preserve"> </w:t>
      </w:r>
      <w:r>
        <w:rPr>
          <w:rFonts w:ascii="Arial" w:hAnsi="Arial" w:cs="Arial"/>
        </w:rPr>
        <w:t>d</w:t>
      </w:r>
      <w:r w:rsidR="00D66C7E" w:rsidRPr="00D66C7E">
        <w:rPr>
          <w:rFonts w:ascii="Arial" w:hAnsi="Arial" w:cs="Arial"/>
        </w:rPr>
        <w:t xml:space="preserve">el </w:t>
      </w:r>
      <w:r w:rsidR="00166E4D" w:rsidRPr="00166E4D">
        <w:rPr>
          <w:rFonts w:ascii="Arial" w:hAnsi="Arial" w:cs="Arial"/>
        </w:rPr>
        <w:t>Decreto 1075 de 2015</w:t>
      </w:r>
      <w:r w:rsidR="00166E4D">
        <w:rPr>
          <w:rFonts w:ascii="Arial" w:hAnsi="Arial" w:cs="Arial"/>
        </w:rPr>
        <w:t xml:space="preserve"> – Único Reglamentario del Sector Educación.</w:t>
      </w:r>
    </w:p>
    <w:p w14:paraId="3A63A8BC" w14:textId="77777777" w:rsidR="000C10B5" w:rsidRPr="004A246D" w:rsidRDefault="000C10B5" w:rsidP="00EB2570">
      <w:pPr>
        <w:ind w:left="567" w:hanging="567"/>
        <w:jc w:val="both"/>
        <w:rPr>
          <w:rFonts w:ascii="Arial" w:hAnsi="Arial" w:cs="Arial"/>
          <w:b/>
          <w:color w:val="000000"/>
        </w:rPr>
      </w:pPr>
      <w:r w:rsidRPr="00166E4D">
        <w:rPr>
          <w:rFonts w:ascii="Arial" w:hAnsi="Arial" w:cs="Arial"/>
          <w:b/>
          <w:color w:val="000000"/>
        </w:rPr>
        <w:t xml:space="preserve">3.4. </w:t>
      </w:r>
      <w:r w:rsidR="00EB2570" w:rsidRPr="004A246D">
        <w:rPr>
          <w:rFonts w:ascii="Arial" w:hAnsi="Arial" w:cs="Arial"/>
          <w:b/>
          <w:color w:val="000000"/>
        </w:rPr>
        <w:tab/>
      </w:r>
      <w:r w:rsidRPr="004A246D">
        <w:rPr>
          <w:rFonts w:ascii="Arial" w:hAnsi="Arial" w:cs="Arial"/>
          <w:b/>
          <w:color w:val="000000"/>
        </w:rPr>
        <w:t>Revisión y análisis de decisiones judiciales de los órganos de cierre de cada jurisdicción que pudieran tener impacto o ser relevantes para la expedición del acto.</w:t>
      </w:r>
    </w:p>
    <w:p w14:paraId="1C4CF6FC" w14:textId="77777777" w:rsidR="000C10B5" w:rsidRPr="004A246D" w:rsidRDefault="000C10B5" w:rsidP="000C10B5">
      <w:pPr>
        <w:jc w:val="both"/>
        <w:rPr>
          <w:rFonts w:ascii="Arial" w:hAnsi="Arial" w:cs="Arial"/>
          <w:b/>
          <w:color w:val="000000"/>
        </w:rPr>
      </w:pPr>
    </w:p>
    <w:p w14:paraId="4FABEE59" w14:textId="77777777" w:rsidR="000C10B5" w:rsidRPr="004A246D" w:rsidRDefault="000C10B5" w:rsidP="00503A6C">
      <w:pPr>
        <w:jc w:val="both"/>
        <w:rPr>
          <w:rFonts w:ascii="Arial" w:hAnsi="Arial" w:cs="Arial"/>
          <w:color w:val="000000"/>
        </w:rPr>
      </w:pPr>
      <w:r w:rsidRPr="004A246D">
        <w:rPr>
          <w:rFonts w:ascii="Arial" w:hAnsi="Arial" w:cs="Arial"/>
          <w:color w:val="000000"/>
        </w:rPr>
        <w:t xml:space="preserve">No se encuentra necesario hacer alusión a ninguna sentencia de los órganos de cierre que verse sobre </w:t>
      </w:r>
      <w:r w:rsidR="00103D1B" w:rsidRPr="004A246D">
        <w:rPr>
          <w:rFonts w:ascii="Arial" w:hAnsi="Arial" w:cs="Arial"/>
          <w:color w:val="000000"/>
        </w:rPr>
        <w:t>esta materia</w:t>
      </w:r>
      <w:r w:rsidR="00750009" w:rsidRPr="004A246D">
        <w:rPr>
          <w:rFonts w:ascii="Arial" w:hAnsi="Arial" w:cs="Arial"/>
          <w:color w:val="000000"/>
        </w:rPr>
        <w:t>.</w:t>
      </w:r>
    </w:p>
    <w:p w14:paraId="11E3AD24" w14:textId="77777777" w:rsidR="000C10B5" w:rsidRPr="004A246D" w:rsidRDefault="000C10B5" w:rsidP="000C10B5">
      <w:pPr>
        <w:jc w:val="both"/>
        <w:rPr>
          <w:rFonts w:ascii="Arial" w:hAnsi="Arial" w:cs="Arial"/>
          <w:color w:val="000000"/>
        </w:rPr>
      </w:pPr>
    </w:p>
    <w:p w14:paraId="66760BA0" w14:textId="77777777" w:rsidR="000C10B5" w:rsidRPr="004A246D" w:rsidRDefault="000C10B5" w:rsidP="00EB2570">
      <w:pPr>
        <w:pStyle w:val="Prrafodelista"/>
        <w:numPr>
          <w:ilvl w:val="1"/>
          <w:numId w:val="4"/>
        </w:numPr>
        <w:ind w:left="567" w:hanging="567"/>
        <w:jc w:val="both"/>
        <w:rPr>
          <w:rFonts w:ascii="Arial" w:hAnsi="Arial" w:cs="Arial"/>
          <w:b/>
          <w:color w:val="000000"/>
        </w:rPr>
      </w:pPr>
      <w:r w:rsidRPr="004A246D">
        <w:rPr>
          <w:rFonts w:ascii="Arial" w:hAnsi="Arial" w:cs="Arial"/>
          <w:b/>
          <w:color w:val="000000"/>
        </w:rPr>
        <w:t>Advertencia de cualquier otra circunstancia jurídica que pueda ser relevante para la expedición del acto.</w:t>
      </w:r>
    </w:p>
    <w:p w14:paraId="59A8F940" w14:textId="77777777" w:rsidR="000C10B5" w:rsidRPr="004A246D" w:rsidRDefault="000C10B5" w:rsidP="000C10B5">
      <w:pPr>
        <w:jc w:val="both"/>
        <w:rPr>
          <w:rFonts w:ascii="Arial" w:hAnsi="Arial" w:cs="Arial"/>
          <w:b/>
          <w:color w:val="000000"/>
        </w:rPr>
      </w:pPr>
    </w:p>
    <w:p w14:paraId="426EFD51" w14:textId="69198F98" w:rsidR="00750009" w:rsidRPr="004A246D" w:rsidRDefault="00C21441" w:rsidP="00503A6C">
      <w:pPr>
        <w:jc w:val="both"/>
        <w:rPr>
          <w:rFonts w:ascii="Arial" w:hAnsi="Arial" w:cs="Arial"/>
          <w:color w:val="000000"/>
        </w:rPr>
      </w:pPr>
      <w:r>
        <w:rPr>
          <w:rFonts w:ascii="Arial" w:hAnsi="Arial" w:cs="Arial"/>
          <w:color w:val="000000"/>
        </w:rPr>
        <w:t>En caso de</w:t>
      </w:r>
      <w:r w:rsidR="00103D1B" w:rsidRPr="004A246D">
        <w:rPr>
          <w:rFonts w:ascii="Arial" w:hAnsi="Arial" w:cs="Arial"/>
          <w:color w:val="000000"/>
        </w:rPr>
        <w:t xml:space="preserve"> no cumpl</w:t>
      </w:r>
      <w:r>
        <w:rPr>
          <w:rFonts w:ascii="Arial" w:hAnsi="Arial" w:cs="Arial"/>
          <w:color w:val="000000"/>
        </w:rPr>
        <w:t xml:space="preserve">ir lo acordado </w:t>
      </w:r>
      <w:r w:rsidR="00103D1B" w:rsidRPr="004A246D">
        <w:rPr>
          <w:rFonts w:ascii="Arial" w:hAnsi="Arial" w:cs="Arial"/>
          <w:color w:val="000000"/>
        </w:rPr>
        <w:t>con las organizaciones sindicales</w:t>
      </w:r>
      <w:r>
        <w:rPr>
          <w:rFonts w:ascii="Arial" w:hAnsi="Arial" w:cs="Arial"/>
          <w:color w:val="000000"/>
        </w:rPr>
        <w:t xml:space="preserve">, podría conllevar a que se presentara </w:t>
      </w:r>
      <w:r w:rsidR="00103D1B" w:rsidRPr="004A246D">
        <w:rPr>
          <w:rFonts w:ascii="Arial" w:hAnsi="Arial" w:cs="Arial"/>
          <w:color w:val="000000"/>
        </w:rPr>
        <w:t>una denuncia de incumplimiento ante instancias nacionales e internacionales, entre ellas la OIT</w:t>
      </w:r>
      <w:r w:rsidR="00750009" w:rsidRPr="004A246D">
        <w:rPr>
          <w:rFonts w:ascii="Arial" w:hAnsi="Arial" w:cs="Arial"/>
          <w:color w:val="000000"/>
        </w:rPr>
        <w:t>.</w:t>
      </w:r>
    </w:p>
    <w:p w14:paraId="36F8E9F0" w14:textId="77777777" w:rsidR="000C10B5" w:rsidRPr="004A246D" w:rsidRDefault="000C10B5" w:rsidP="000C10B5">
      <w:pPr>
        <w:jc w:val="both"/>
        <w:rPr>
          <w:rFonts w:ascii="Arial" w:hAnsi="Arial" w:cs="Arial"/>
          <w:color w:val="000000"/>
        </w:rPr>
      </w:pPr>
      <w:r w:rsidRPr="004A246D">
        <w:rPr>
          <w:rFonts w:ascii="Arial" w:hAnsi="Arial" w:cs="Arial"/>
          <w:color w:val="000000"/>
        </w:rPr>
        <w:t xml:space="preserve"> </w:t>
      </w:r>
      <w:r w:rsidR="00C21441">
        <w:rPr>
          <w:rFonts w:ascii="Arial" w:hAnsi="Arial" w:cs="Arial"/>
          <w:color w:val="000000"/>
        </w:rPr>
        <w:t xml:space="preserve"> </w:t>
      </w:r>
    </w:p>
    <w:p w14:paraId="06336A0B" w14:textId="77777777" w:rsidR="00AF0BEA" w:rsidRPr="004A246D" w:rsidRDefault="00AF0BEA" w:rsidP="00EB2570">
      <w:pPr>
        <w:pStyle w:val="Prrafodelista"/>
        <w:numPr>
          <w:ilvl w:val="0"/>
          <w:numId w:val="1"/>
        </w:numPr>
        <w:ind w:left="567" w:right="-1" w:hanging="567"/>
        <w:jc w:val="both"/>
        <w:rPr>
          <w:rFonts w:ascii="Arial" w:hAnsi="Arial" w:cs="Arial"/>
          <w:b/>
        </w:rPr>
      </w:pPr>
      <w:r w:rsidRPr="004A246D">
        <w:rPr>
          <w:rFonts w:ascii="Arial" w:hAnsi="Arial" w:cs="Arial"/>
          <w:b/>
        </w:rPr>
        <w:t xml:space="preserve">Impacto económico </w:t>
      </w:r>
    </w:p>
    <w:p w14:paraId="7D77D0E7" w14:textId="77777777" w:rsidR="00AF0BEA" w:rsidRPr="004A246D" w:rsidRDefault="00AF0BEA" w:rsidP="00AF0BEA">
      <w:pPr>
        <w:pStyle w:val="Prrafodelista"/>
        <w:ind w:left="0" w:right="-1"/>
        <w:jc w:val="both"/>
        <w:rPr>
          <w:rFonts w:ascii="Arial" w:hAnsi="Arial" w:cs="Arial"/>
          <w:b/>
        </w:rPr>
      </w:pPr>
    </w:p>
    <w:p w14:paraId="789634DC" w14:textId="77777777" w:rsidR="006F4019" w:rsidRPr="006F4019" w:rsidRDefault="006F4019" w:rsidP="00006F47">
      <w:pPr>
        <w:pStyle w:val="Prrafodelista"/>
        <w:ind w:left="0" w:right="-1"/>
        <w:jc w:val="both"/>
        <w:rPr>
          <w:rFonts w:ascii="Arial" w:hAnsi="Arial" w:cs="Arial"/>
          <w:bCs/>
          <w:lang w:val="es-ES_tradnl"/>
        </w:rPr>
      </w:pPr>
      <w:r w:rsidRPr="006F4019">
        <w:rPr>
          <w:rFonts w:ascii="Arial" w:hAnsi="Arial" w:cs="Arial"/>
          <w:lang w:val="es-ES_tradnl"/>
        </w:rPr>
        <w:t xml:space="preserve">La implementación del presente proyecto normativo </w:t>
      </w:r>
      <w:r w:rsidRPr="006F4019">
        <w:rPr>
          <w:rFonts w:ascii="Arial" w:hAnsi="Arial" w:cs="Arial"/>
          <w:bCs/>
          <w:lang w:val="es-ES_tradnl"/>
        </w:rPr>
        <w:t>no genera impacto económico alguno.</w:t>
      </w:r>
    </w:p>
    <w:p w14:paraId="3576E15F" w14:textId="77777777" w:rsidR="004A799F" w:rsidRPr="004A246D" w:rsidRDefault="00976A54" w:rsidP="00503A6C">
      <w:pPr>
        <w:widowControl w:val="0"/>
        <w:autoSpaceDE w:val="0"/>
        <w:autoSpaceDN w:val="0"/>
        <w:adjustRightInd w:val="0"/>
        <w:jc w:val="both"/>
        <w:rPr>
          <w:rFonts w:ascii="Arial" w:hAnsi="Arial" w:cs="Arial"/>
        </w:rPr>
      </w:pPr>
      <w:r w:rsidRPr="004A246D">
        <w:rPr>
          <w:rFonts w:ascii="Arial" w:hAnsi="Arial" w:cs="Arial"/>
        </w:rPr>
        <w:t> </w:t>
      </w:r>
      <w:r w:rsidR="00ED418E" w:rsidRPr="004A246D">
        <w:rPr>
          <w:rFonts w:ascii="Arial" w:hAnsi="Arial" w:cs="Arial"/>
        </w:rPr>
        <w:t xml:space="preserve"> </w:t>
      </w:r>
      <w:r w:rsidR="004A799F" w:rsidRPr="004A246D">
        <w:rPr>
          <w:rFonts w:ascii="Arial" w:hAnsi="Arial" w:cs="Arial"/>
        </w:rPr>
        <w:t xml:space="preserve"> </w:t>
      </w:r>
    </w:p>
    <w:p w14:paraId="13CED638" w14:textId="77777777" w:rsidR="00AF0BEA" w:rsidRPr="004A246D" w:rsidRDefault="00AF0BEA" w:rsidP="00EB2570">
      <w:pPr>
        <w:pStyle w:val="Prrafodelista"/>
        <w:numPr>
          <w:ilvl w:val="0"/>
          <w:numId w:val="1"/>
        </w:numPr>
        <w:ind w:left="567" w:right="-1" w:hanging="567"/>
        <w:jc w:val="both"/>
        <w:rPr>
          <w:rFonts w:ascii="Arial" w:hAnsi="Arial" w:cs="Arial"/>
          <w:b/>
        </w:rPr>
      </w:pPr>
      <w:r w:rsidRPr="004A246D">
        <w:rPr>
          <w:rFonts w:ascii="Arial" w:hAnsi="Arial" w:cs="Arial"/>
          <w:b/>
        </w:rPr>
        <w:t>Disponibilidad presupuestal.</w:t>
      </w:r>
    </w:p>
    <w:p w14:paraId="00FCE050" w14:textId="77777777" w:rsidR="00AF0BEA" w:rsidRPr="004A246D" w:rsidRDefault="00AF0BEA" w:rsidP="00AF0BEA">
      <w:pPr>
        <w:pStyle w:val="Prrafodelista"/>
        <w:ind w:left="0" w:right="-1"/>
        <w:jc w:val="both"/>
        <w:rPr>
          <w:rFonts w:ascii="Arial" w:hAnsi="Arial" w:cs="Arial"/>
          <w:b/>
        </w:rPr>
      </w:pPr>
    </w:p>
    <w:p w14:paraId="003618DC" w14:textId="77777777" w:rsidR="00976A54" w:rsidRPr="004A246D" w:rsidRDefault="00F424C9" w:rsidP="00503A6C">
      <w:pPr>
        <w:ind w:right="-1"/>
        <w:jc w:val="both"/>
        <w:rPr>
          <w:rFonts w:ascii="Arial" w:hAnsi="Arial" w:cs="Arial"/>
        </w:rPr>
      </w:pPr>
      <w:r w:rsidRPr="00F424C9">
        <w:rPr>
          <w:rFonts w:ascii="Arial" w:hAnsi="Arial" w:cs="Arial"/>
          <w:lang w:val="es-ES_tradnl"/>
        </w:rPr>
        <w:t xml:space="preserve">El proyecto </w:t>
      </w:r>
      <w:r>
        <w:rPr>
          <w:rFonts w:ascii="Arial" w:hAnsi="Arial" w:cs="Arial"/>
          <w:lang w:val="es-ES_tradnl"/>
        </w:rPr>
        <w:t xml:space="preserve">de decreto </w:t>
      </w:r>
      <w:r w:rsidRPr="00F424C9">
        <w:rPr>
          <w:rFonts w:ascii="Arial" w:hAnsi="Arial" w:cs="Arial"/>
          <w:lang w:val="es-ES_tradnl"/>
        </w:rPr>
        <w:t>no afecta el Presupuesto General de la Nación</w:t>
      </w:r>
      <w:r w:rsidR="002B4817">
        <w:rPr>
          <w:rFonts w:ascii="Arial" w:hAnsi="Arial" w:cs="Arial"/>
          <w:lang w:val="es-ES_tradnl"/>
        </w:rPr>
        <w:t>.</w:t>
      </w:r>
      <w:r w:rsidRPr="00F424C9" w:rsidDel="00F424C9">
        <w:rPr>
          <w:rFonts w:ascii="Arial" w:hAnsi="Arial" w:cs="Arial"/>
        </w:rPr>
        <w:t xml:space="preserve"> </w:t>
      </w:r>
    </w:p>
    <w:p w14:paraId="36646174" w14:textId="77777777" w:rsidR="00976A54" w:rsidRPr="00A80E6E" w:rsidRDefault="00976A54" w:rsidP="00976A54">
      <w:pPr>
        <w:ind w:right="-1"/>
        <w:jc w:val="both"/>
        <w:rPr>
          <w:rFonts w:ascii="Arial" w:eastAsia="MS Mincho" w:hAnsi="Arial" w:cs="Arial"/>
        </w:rPr>
      </w:pPr>
    </w:p>
    <w:p w14:paraId="43FB6097" w14:textId="77777777" w:rsidR="00AF0BEA" w:rsidRPr="004A246D" w:rsidRDefault="00AF0BEA" w:rsidP="00EB2570">
      <w:pPr>
        <w:pStyle w:val="Prrafodelista"/>
        <w:numPr>
          <w:ilvl w:val="0"/>
          <w:numId w:val="1"/>
        </w:numPr>
        <w:ind w:left="567" w:right="-1" w:hanging="567"/>
        <w:jc w:val="both"/>
        <w:rPr>
          <w:rFonts w:ascii="Arial" w:hAnsi="Arial" w:cs="Arial"/>
          <w:b/>
        </w:rPr>
      </w:pPr>
      <w:r w:rsidRPr="004A246D">
        <w:rPr>
          <w:rFonts w:ascii="Arial" w:hAnsi="Arial" w:cs="Arial"/>
          <w:b/>
        </w:rPr>
        <w:lastRenderedPageBreak/>
        <w:t>Impacto medioambiental o sobre el patrimonio cultural de la Nación.</w:t>
      </w:r>
    </w:p>
    <w:p w14:paraId="1DB54CD6" w14:textId="77777777" w:rsidR="00AF0BEA" w:rsidRPr="00A80E6E" w:rsidRDefault="00AF0BEA" w:rsidP="00AF0BEA">
      <w:pPr>
        <w:pStyle w:val="NormalWeb"/>
        <w:spacing w:before="0" w:beforeAutospacing="0" w:after="0" w:afterAutospacing="0"/>
        <w:ind w:right="-1"/>
        <w:rPr>
          <w:rFonts w:ascii="Arial" w:eastAsia="Cambria" w:hAnsi="Arial" w:cs="Arial"/>
          <w:lang w:val="es-CO" w:eastAsia="en-US"/>
        </w:rPr>
      </w:pPr>
    </w:p>
    <w:p w14:paraId="4F516843" w14:textId="77777777" w:rsidR="00AF0BEA" w:rsidRPr="004A246D" w:rsidRDefault="00AF0BEA" w:rsidP="00503A6C">
      <w:pPr>
        <w:jc w:val="both"/>
        <w:rPr>
          <w:rFonts w:ascii="Arial" w:hAnsi="Arial" w:cs="Arial"/>
        </w:rPr>
      </w:pPr>
      <w:r w:rsidRPr="004A246D">
        <w:rPr>
          <w:rFonts w:ascii="Arial" w:hAnsi="Arial" w:cs="Arial"/>
        </w:rPr>
        <w:t>No genera impacto ambiental o sobre el patrimonio cultural de la Nación</w:t>
      </w:r>
    </w:p>
    <w:p w14:paraId="0119A6DD" w14:textId="77777777" w:rsidR="00AF0BEA" w:rsidRPr="00A80E6E" w:rsidRDefault="00AF0BEA" w:rsidP="00AF0BEA">
      <w:pPr>
        <w:pStyle w:val="NormalWeb"/>
        <w:spacing w:before="0" w:beforeAutospacing="0" w:after="0" w:afterAutospacing="0"/>
        <w:ind w:right="-1"/>
        <w:jc w:val="both"/>
        <w:rPr>
          <w:rFonts w:ascii="Arial" w:eastAsia="Cambria" w:hAnsi="Arial" w:cs="Arial"/>
          <w:lang w:val="es-CO" w:eastAsia="en-US"/>
        </w:rPr>
      </w:pPr>
    </w:p>
    <w:p w14:paraId="50231B90" w14:textId="77777777" w:rsidR="00AF0BEA" w:rsidRPr="004A246D" w:rsidRDefault="00AF0BEA" w:rsidP="00EB2570">
      <w:pPr>
        <w:pStyle w:val="Prrafodelista"/>
        <w:numPr>
          <w:ilvl w:val="0"/>
          <w:numId w:val="1"/>
        </w:numPr>
        <w:ind w:left="567" w:right="-1" w:hanging="567"/>
        <w:jc w:val="both"/>
        <w:rPr>
          <w:rFonts w:ascii="Arial" w:hAnsi="Arial" w:cs="Arial"/>
          <w:b/>
        </w:rPr>
      </w:pPr>
      <w:r w:rsidRPr="004A246D">
        <w:rPr>
          <w:rFonts w:ascii="Arial" w:hAnsi="Arial" w:cs="Arial"/>
          <w:b/>
        </w:rPr>
        <w:t xml:space="preserve">Consulta previa y publicidad </w:t>
      </w:r>
    </w:p>
    <w:p w14:paraId="6DE554C1" w14:textId="77777777" w:rsidR="00AF0BEA" w:rsidRPr="004A246D" w:rsidRDefault="00AF0BEA" w:rsidP="00AF0BEA">
      <w:pPr>
        <w:pStyle w:val="Default"/>
        <w:rPr>
          <w:color w:val="auto"/>
        </w:rPr>
      </w:pPr>
    </w:p>
    <w:p w14:paraId="11F15592" w14:textId="77777777" w:rsidR="00AF0BEA" w:rsidRPr="004A246D" w:rsidRDefault="00734714" w:rsidP="00503A6C">
      <w:pPr>
        <w:pStyle w:val="Default"/>
        <w:numPr>
          <w:ilvl w:val="1"/>
          <w:numId w:val="1"/>
        </w:numPr>
        <w:jc w:val="both"/>
        <w:rPr>
          <w:b/>
          <w:iCs/>
          <w:color w:val="auto"/>
        </w:rPr>
      </w:pPr>
      <w:r>
        <w:rPr>
          <w:b/>
          <w:iCs/>
          <w:color w:val="auto"/>
        </w:rPr>
        <w:t xml:space="preserve">. </w:t>
      </w:r>
      <w:r w:rsidR="00AF0BEA" w:rsidRPr="004A246D">
        <w:rPr>
          <w:b/>
          <w:iCs/>
          <w:color w:val="auto"/>
        </w:rPr>
        <w:t>Consulta previ</w:t>
      </w:r>
      <w:r w:rsidR="00503A6C" w:rsidRPr="004A246D">
        <w:rPr>
          <w:b/>
          <w:iCs/>
          <w:color w:val="auto"/>
        </w:rPr>
        <w:t xml:space="preserve">a:   </w:t>
      </w:r>
      <w:r w:rsidR="00AF0BEA" w:rsidRPr="004A246D">
        <w:rPr>
          <w:color w:val="auto"/>
        </w:rPr>
        <w:t xml:space="preserve">No aplica. </w:t>
      </w:r>
    </w:p>
    <w:p w14:paraId="726C736A" w14:textId="77777777" w:rsidR="00AF0BEA" w:rsidRPr="004A246D" w:rsidRDefault="00AF0BEA" w:rsidP="00503A6C">
      <w:pPr>
        <w:pStyle w:val="Default"/>
        <w:ind w:left="229"/>
        <w:jc w:val="both"/>
        <w:rPr>
          <w:color w:val="auto"/>
        </w:rPr>
      </w:pPr>
    </w:p>
    <w:p w14:paraId="45949E3F" w14:textId="77777777" w:rsidR="00734714" w:rsidRDefault="00734714" w:rsidP="00734714">
      <w:pPr>
        <w:pStyle w:val="Default"/>
        <w:numPr>
          <w:ilvl w:val="1"/>
          <w:numId w:val="1"/>
        </w:numPr>
        <w:jc w:val="both"/>
        <w:rPr>
          <w:color w:val="auto"/>
        </w:rPr>
      </w:pPr>
      <w:r w:rsidRPr="00734714">
        <w:rPr>
          <w:b/>
          <w:iCs/>
          <w:color w:val="auto"/>
        </w:rPr>
        <w:t xml:space="preserve">. </w:t>
      </w:r>
      <w:r w:rsidR="00AF0BEA" w:rsidRPr="00734714">
        <w:rPr>
          <w:b/>
          <w:iCs/>
          <w:color w:val="auto"/>
        </w:rPr>
        <w:t>Publicidad</w:t>
      </w:r>
      <w:r w:rsidR="00503A6C" w:rsidRPr="00734714">
        <w:rPr>
          <w:color w:val="auto"/>
        </w:rPr>
        <w:t>.</w:t>
      </w:r>
      <w:r w:rsidRPr="00734714">
        <w:rPr>
          <w:color w:val="auto"/>
        </w:rPr>
        <w:t xml:space="preserve"> </w:t>
      </w:r>
    </w:p>
    <w:p w14:paraId="7187B0B9" w14:textId="77777777" w:rsidR="00734714" w:rsidRDefault="00734714" w:rsidP="00914653">
      <w:pPr>
        <w:pStyle w:val="Prrafodelista"/>
      </w:pPr>
    </w:p>
    <w:p w14:paraId="7D93A13D" w14:textId="77777777" w:rsidR="00734714" w:rsidRPr="00734714" w:rsidRDefault="00734714" w:rsidP="00914653">
      <w:pPr>
        <w:pStyle w:val="Default"/>
        <w:ind w:left="360"/>
        <w:jc w:val="both"/>
        <w:rPr>
          <w:color w:val="auto"/>
        </w:rPr>
      </w:pPr>
      <w:r w:rsidRPr="00734714">
        <w:rPr>
          <w:color w:val="auto"/>
        </w:rPr>
        <w:t xml:space="preserve">Conforme a lo establecido en el numeral 8 del artículo 8 del Código de Procedimiento Administrativo y de lo Contencioso Administrativo, y de acuerdo con el artículo 3 de la Resolución 07651 de 2017, modificada por la Resolución 11967 de 2017 del Ministerio de Educación Nacional, la publicación debe realizarse por lo menos durante quince (15) días calendario para observaciones ciudadanas. </w:t>
      </w:r>
    </w:p>
    <w:p w14:paraId="239DA111" w14:textId="77777777" w:rsidR="00734714" w:rsidRPr="00734714" w:rsidRDefault="00734714" w:rsidP="00914653">
      <w:pPr>
        <w:pStyle w:val="Default"/>
        <w:ind w:left="360"/>
        <w:jc w:val="both"/>
        <w:rPr>
          <w:color w:val="auto"/>
        </w:rPr>
      </w:pPr>
    </w:p>
    <w:p w14:paraId="6B0E33A5" w14:textId="12B2A6AF" w:rsidR="00D55848" w:rsidRDefault="00734714" w:rsidP="00914653">
      <w:pPr>
        <w:pStyle w:val="Default"/>
        <w:ind w:left="360"/>
        <w:jc w:val="both"/>
        <w:rPr>
          <w:color w:val="auto"/>
        </w:rPr>
      </w:pPr>
      <w:r w:rsidRPr="00734714">
        <w:rPr>
          <w:color w:val="auto"/>
        </w:rPr>
        <w:t xml:space="preserve">Conforme lo anterior, el proyecto de decreto fue publicado en la página web del Ministerio entre el </w:t>
      </w:r>
      <w:r w:rsidR="00E178A8">
        <w:rPr>
          <w:color w:val="auto"/>
        </w:rPr>
        <w:t>5 y el 19 de febrero</w:t>
      </w:r>
      <w:r w:rsidRPr="00734714">
        <w:rPr>
          <w:color w:val="auto"/>
        </w:rPr>
        <w:t xml:space="preserve"> de 2018, </w:t>
      </w:r>
      <w:r w:rsidR="00E178A8">
        <w:rPr>
          <w:color w:val="auto"/>
        </w:rPr>
        <w:t xml:space="preserve">inclusive, </w:t>
      </w:r>
      <w:r w:rsidRPr="00734714">
        <w:rPr>
          <w:color w:val="auto"/>
        </w:rPr>
        <w:t xml:space="preserve">para que la ciudadanía realizara las observaciones </w:t>
      </w:r>
      <w:r w:rsidR="007C11AE">
        <w:rPr>
          <w:color w:val="auto"/>
        </w:rPr>
        <w:t xml:space="preserve">a </w:t>
      </w:r>
      <w:r w:rsidRPr="00734714">
        <w:rPr>
          <w:color w:val="auto"/>
        </w:rPr>
        <w:t>que tuvieran lugar.</w:t>
      </w:r>
    </w:p>
    <w:p w14:paraId="6AB147C9" w14:textId="2E1BDD69" w:rsidR="00E178A8" w:rsidRDefault="00E178A8" w:rsidP="00914653">
      <w:pPr>
        <w:pStyle w:val="Default"/>
        <w:ind w:left="360"/>
        <w:jc w:val="both"/>
        <w:rPr>
          <w:color w:val="auto"/>
        </w:rPr>
      </w:pPr>
    </w:p>
    <w:p w14:paraId="7E09D47D" w14:textId="14614263" w:rsidR="00E178A8" w:rsidRPr="00914653" w:rsidRDefault="00E178A8" w:rsidP="00914653">
      <w:pPr>
        <w:pStyle w:val="Default"/>
        <w:ind w:left="360"/>
        <w:jc w:val="both"/>
        <w:rPr>
          <w:color w:val="auto"/>
        </w:rPr>
      </w:pPr>
      <w:r>
        <w:rPr>
          <w:color w:val="auto"/>
        </w:rPr>
        <w:t>La ciudadanía no presentó observación alguna</w:t>
      </w:r>
    </w:p>
    <w:p w14:paraId="1AE02918" w14:textId="5AFA8101" w:rsidR="00734714" w:rsidRDefault="00734714" w:rsidP="00D55848">
      <w:pPr>
        <w:pStyle w:val="Default"/>
        <w:jc w:val="both"/>
        <w:rPr>
          <w:color w:val="auto"/>
        </w:rPr>
      </w:pPr>
    </w:p>
    <w:p w14:paraId="5733DA81" w14:textId="77777777" w:rsidR="00006F47" w:rsidRDefault="00006F47" w:rsidP="00D55848">
      <w:pPr>
        <w:pStyle w:val="Default"/>
        <w:jc w:val="both"/>
        <w:rPr>
          <w:color w:val="auto"/>
        </w:rPr>
      </w:pPr>
    </w:p>
    <w:p w14:paraId="0D55FCC4" w14:textId="77777777" w:rsidR="000C10B5" w:rsidRPr="004A246D" w:rsidRDefault="000C10B5" w:rsidP="00D55848">
      <w:pPr>
        <w:pStyle w:val="Default"/>
        <w:jc w:val="both"/>
        <w:rPr>
          <w:color w:val="auto"/>
        </w:rPr>
      </w:pPr>
      <w:r w:rsidRPr="004A246D">
        <w:rPr>
          <w:color w:val="auto"/>
        </w:rPr>
        <w:t>Visto bueno memoria justificativa</w:t>
      </w:r>
    </w:p>
    <w:p w14:paraId="36CEAC04" w14:textId="77777777" w:rsidR="000C10B5" w:rsidRPr="00166E4D" w:rsidRDefault="000C10B5" w:rsidP="00D55848">
      <w:pPr>
        <w:pStyle w:val="Default"/>
        <w:jc w:val="both"/>
        <w:rPr>
          <w:color w:val="auto"/>
        </w:rPr>
      </w:pPr>
    </w:p>
    <w:p w14:paraId="31A9F3DD" w14:textId="77777777" w:rsidR="000C10B5" w:rsidRPr="004A246D" w:rsidRDefault="000C10B5" w:rsidP="00D55848">
      <w:pPr>
        <w:pStyle w:val="Default"/>
        <w:jc w:val="both"/>
        <w:rPr>
          <w:color w:val="auto"/>
        </w:rPr>
      </w:pPr>
    </w:p>
    <w:p w14:paraId="5FFD3A07" w14:textId="77777777" w:rsidR="000C10B5" w:rsidRDefault="000C10B5" w:rsidP="00D55848">
      <w:pPr>
        <w:pStyle w:val="Default"/>
        <w:jc w:val="both"/>
        <w:rPr>
          <w:color w:val="auto"/>
        </w:rPr>
      </w:pPr>
    </w:p>
    <w:p w14:paraId="10A80918" w14:textId="77777777" w:rsidR="00734714" w:rsidRPr="004A246D" w:rsidRDefault="00734714" w:rsidP="00D55848">
      <w:pPr>
        <w:pStyle w:val="Default"/>
        <w:jc w:val="both"/>
        <w:rPr>
          <w:color w:val="auto"/>
        </w:rPr>
      </w:pPr>
    </w:p>
    <w:p w14:paraId="19719C70" w14:textId="77777777" w:rsidR="000C10B5" w:rsidRPr="004A246D" w:rsidRDefault="00C21441" w:rsidP="00D55848">
      <w:pPr>
        <w:pStyle w:val="Default"/>
        <w:jc w:val="both"/>
        <w:rPr>
          <w:b/>
          <w:color w:val="auto"/>
        </w:rPr>
      </w:pPr>
      <w:r>
        <w:rPr>
          <w:b/>
          <w:color w:val="auto"/>
        </w:rPr>
        <w:t>HELGA MILENA HERNÁNDEZ REYES</w:t>
      </w:r>
    </w:p>
    <w:p w14:paraId="368B2970" w14:textId="77777777" w:rsidR="000C10B5" w:rsidRPr="004A246D" w:rsidRDefault="000C10B5" w:rsidP="00D55848">
      <w:pPr>
        <w:pStyle w:val="Default"/>
        <w:jc w:val="both"/>
        <w:rPr>
          <w:color w:val="auto"/>
        </w:rPr>
      </w:pPr>
      <w:r w:rsidRPr="004A246D">
        <w:rPr>
          <w:color w:val="auto"/>
        </w:rPr>
        <w:t>Viceminist</w:t>
      </w:r>
      <w:r w:rsidR="00C21441">
        <w:rPr>
          <w:color w:val="auto"/>
        </w:rPr>
        <w:t>ra</w:t>
      </w:r>
      <w:r w:rsidRPr="004A246D">
        <w:rPr>
          <w:color w:val="auto"/>
        </w:rPr>
        <w:t xml:space="preserve"> de Educación Preescolar, Básica y Media </w:t>
      </w:r>
      <w:r w:rsidR="00C21441">
        <w:rPr>
          <w:color w:val="auto"/>
        </w:rPr>
        <w:t>(E)</w:t>
      </w:r>
    </w:p>
    <w:p w14:paraId="13C182BC" w14:textId="77777777" w:rsidR="00D55848" w:rsidRDefault="00D55848" w:rsidP="00D55848">
      <w:pPr>
        <w:pStyle w:val="Default"/>
        <w:jc w:val="both"/>
        <w:rPr>
          <w:color w:val="auto"/>
        </w:rPr>
      </w:pPr>
    </w:p>
    <w:p w14:paraId="01C11FFF" w14:textId="77777777" w:rsidR="00734714" w:rsidRDefault="00734714" w:rsidP="00D55848">
      <w:pPr>
        <w:pStyle w:val="Default"/>
        <w:jc w:val="both"/>
        <w:rPr>
          <w:color w:val="auto"/>
        </w:rPr>
      </w:pPr>
    </w:p>
    <w:p w14:paraId="68F527DE" w14:textId="77777777" w:rsidR="00734714" w:rsidRDefault="00734714" w:rsidP="00D55848">
      <w:pPr>
        <w:pStyle w:val="Default"/>
        <w:jc w:val="both"/>
        <w:rPr>
          <w:color w:val="auto"/>
        </w:rPr>
      </w:pPr>
    </w:p>
    <w:p w14:paraId="20074C44" w14:textId="77777777" w:rsidR="00734714" w:rsidRPr="004A246D" w:rsidRDefault="00734714" w:rsidP="00D55848">
      <w:pPr>
        <w:pStyle w:val="Default"/>
        <w:jc w:val="both"/>
        <w:rPr>
          <w:color w:val="auto"/>
        </w:rPr>
      </w:pPr>
    </w:p>
    <w:p w14:paraId="5305844D" w14:textId="77777777" w:rsidR="00AF0BEA" w:rsidRPr="004A246D" w:rsidRDefault="000C10B5" w:rsidP="00750009">
      <w:pPr>
        <w:pStyle w:val="Default"/>
        <w:jc w:val="both"/>
        <w:rPr>
          <w:color w:val="auto"/>
        </w:rPr>
      </w:pPr>
      <w:r w:rsidRPr="004A246D">
        <w:rPr>
          <w:color w:val="auto"/>
        </w:rPr>
        <w:t xml:space="preserve">Visto bueno viabilidad Jurídica </w:t>
      </w:r>
    </w:p>
    <w:p w14:paraId="15B14F46" w14:textId="77777777" w:rsidR="000C10B5" w:rsidRPr="004A246D" w:rsidRDefault="000C10B5" w:rsidP="00AF0BEA">
      <w:pPr>
        <w:pStyle w:val="Default"/>
        <w:ind w:left="426"/>
        <w:jc w:val="both"/>
        <w:rPr>
          <w:color w:val="auto"/>
        </w:rPr>
      </w:pPr>
    </w:p>
    <w:p w14:paraId="4E3AE6FA" w14:textId="77777777" w:rsidR="000C10B5" w:rsidRPr="004A246D" w:rsidRDefault="000C10B5" w:rsidP="00AF0BEA">
      <w:pPr>
        <w:pStyle w:val="Default"/>
        <w:ind w:left="426"/>
        <w:jc w:val="both"/>
        <w:rPr>
          <w:color w:val="auto"/>
        </w:rPr>
      </w:pPr>
    </w:p>
    <w:p w14:paraId="44BBE7A7" w14:textId="77777777" w:rsidR="000C10B5" w:rsidRDefault="000C10B5" w:rsidP="00E81538">
      <w:pPr>
        <w:pStyle w:val="Default"/>
        <w:ind w:left="426"/>
        <w:jc w:val="both"/>
        <w:rPr>
          <w:b/>
          <w:color w:val="auto"/>
        </w:rPr>
      </w:pPr>
    </w:p>
    <w:p w14:paraId="77B2BB8B" w14:textId="77777777" w:rsidR="00734714" w:rsidRPr="004A246D" w:rsidRDefault="00734714" w:rsidP="00AF0BEA">
      <w:pPr>
        <w:pStyle w:val="Default"/>
        <w:ind w:left="426"/>
        <w:jc w:val="both"/>
        <w:rPr>
          <w:b/>
          <w:color w:val="auto"/>
        </w:rPr>
      </w:pPr>
    </w:p>
    <w:p w14:paraId="1ED1C772" w14:textId="77777777" w:rsidR="000C10B5" w:rsidRPr="004A246D" w:rsidRDefault="00EB2570" w:rsidP="00750009">
      <w:pPr>
        <w:pStyle w:val="Default"/>
        <w:jc w:val="both"/>
        <w:rPr>
          <w:b/>
          <w:color w:val="auto"/>
        </w:rPr>
      </w:pPr>
      <w:r w:rsidRPr="004A246D">
        <w:rPr>
          <w:b/>
          <w:color w:val="auto"/>
        </w:rPr>
        <w:t>MARTHA LUCÍA TRUJILLO CALDERÓN</w:t>
      </w:r>
    </w:p>
    <w:p w14:paraId="70DD354E" w14:textId="77777777" w:rsidR="00C23AC9" w:rsidRPr="004A246D" w:rsidRDefault="000C10B5" w:rsidP="00503A6C">
      <w:pPr>
        <w:pStyle w:val="Default"/>
        <w:jc w:val="both"/>
        <w:rPr>
          <w:color w:val="auto"/>
        </w:rPr>
      </w:pPr>
      <w:r w:rsidRPr="004A246D">
        <w:rPr>
          <w:color w:val="auto"/>
        </w:rPr>
        <w:t xml:space="preserve">Jefe de la Oficina Asesora Jurídica </w:t>
      </w:r>
    </w:p>
    <w:sectPr w:rsidR="00C23AC9" w:rsidRPr="004A246D" w:rsidSect="00E81538">
      <w:headerReference w:type="default" r:id="rId8"/>
      <w:footerReference w:type="default" r:id="rId9"/>
      <w:pgSz w:w="12240" w:h="15840"/>
      <w:pgMar w:top="1701" w:right="1134" w:bottom="1701" w:left="1701" w:header="426"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9E48C" w14:textId="77777777" w:rsidR="00D913FA" w:rsidRDefault="00D913FA">
      <w:r>
        <w:separator/>
      </w:r>
    </w:p>
  </w:endnote>
  <w:endnote w:type="continuationSeparator" w:id="0">
    <w:p w14:paraId="41FC6956" w14:textId="77777777" w:rsidR="00D913FA" w:rsidRDefault="00D9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8B26" w14:textId="77777777" w:rsidR="00CF05E3" w:rsidRPr="00BA3D52" w:rsidRDefault="00CF05E3" w:rsidP="0071175C">
    <w:pPr>
      <w:jc w:val="center"/>
      <w:rPr>
        <w:rFonts w:ascii="Helvetica" w:hAnsi="Helvetica" w:cs="Arial"/>
        <w:b/>
        <w:bCs/>
        <w:color w:val="333333"/>
        <w:sz w:val="16"/>
        <w:szCs w:val="19"/>
        <w:shd w:val="clear" w:color="auto" w:fill="FFFFFF"/>
        <w:lang w:val="es-ES_tradnl"/>
      </w:rPr>
    </w:pPr>
    <w:r w:rsidRPr="00BA3D52">
      <w:rPr>
        <w:rFonts w:ascii="Helvetica" w:hAnsi="Helvetica" w:cs="Arial"/>
        <w:b/>
        <w:bCs/>
        <w:color w:val="333333"/>
        <w:sz w:val="16"/>
        <w:szCs w:val="19"/>
        <w:shd w:val="clear" w:color="auto" w:fill="FFFFFF"/>
        <w:lang w:val="es-ES_tradnl"/>
      </w:rPr>
      <w:t>Calle 43 No. 57 - 14 Centro Administrativo Nacional, CAN, Bogotá, D.C.</w:t>
    </w:r>
  </w:p>
  <w:p w14:paraId="3781F571" w14:textId="77777777" w:rsidR="00CF05E3" w:rsidRPr="00BA3D52" w:rsidRDefault="00CF05E3" w:rsidP="0071175C">
    <w:pPr>
      <w:jc w:val="center"/>
      <w:rPr>
        <w:rFonts w:ascii="Helvetica" w:hAnsi="Helvetica" w:cs="Arial"/>
        <w:b/>
        <w:bCs/>
        <w:color w:val="333333"/>
        <w:sz w:val="16"/>
        <w:szCs w:val="19"/>
        <w:shd w:val="clear" w:color="auto" w:fill="FFFFFF"/>
        <w:lang w:val="es-ES_tradnl"/>
      </w:rPr>
    </w:pPr>
    <w:r w:rsidRPr="00BA3D52">
      <w:rPr>
        <w:rFonts w:ascii="Helvetica" w:hAnsi="Helvetica" w:cs="Arial"/>
        <w:b/>
        <w:bCs/>
        <w:color w:val="333333"/>
        <w:sz w:val="16"/>
        <w:szCs w:val="19"/>
        <w:shd w:val="clear" w:color="auto" w:fill="FFFFFF"/>
        <w:lang w:val="es-ES_tradnl"/>
      </w:rPr>
      <w:t>PBX: +57 (1) 222 2800 -  Fax 222 4953</w:t>
    </w:r>
  </w:p>
  <w:p w14:paraId="0FB1B237" w14:textId="77777777" w:rsidR="00CF05E3" w:rsidRPr="00BA3D52" w:rsidRDefault="00CF05E3" w:rsidP="0071175C">
    <w:pPr>
      <w:jc w:val="center"/>
      <w:rPr>
        <w:rFonts w:ascii="Helvetica" w:hAnsi="Helvetica"/>
        <w:sz w:val="18"/>
        <w:szCs w:val="20"/>
        <w:lang w:val="es-ES_tradnl"/>
      </w:rPr>
    </w:pPr>
    <w:r w:rsidRPr="00BA3D52">
      <w:rPr>
        <w:rFonts w:ascii="Helvetica" w:hAnsi="Helvetica" w:cs="Arial"/>
        <w:b/>
        <w:bCs/>
        <w:color w:val="333333"/>
        <w:sz w:val="16"/>
        <w:szCs w:val="19"/>
        <w:shd w:val="clear" w:color="auto" w:fill="FFFFFF"/>
        <w:lang w:val="es-ES_tradnl"/>
      </w:rPr>
      <w:t>www.mineducacion.gov.co - atencio</w:t>
    </w:r>
    <w:r>
      <w:rPr>
        <w:rFonts w:ascii="Helvetica" w:hAnsi="Helvetica" w:cs="Arial"/>
        <w:b/>
        <w:bCs/>
        <w:color w:val="333333"/>
        <w:sz w:val="16"/>
        <w:szCs w:val="19"/>
        <w:shd w:val="clear" w:color="auto" w:fill="FFFFFF"/>
        <w:lang w:val="es-ES_tradnl"/>
      </w:rPr>
      <w:t>nalciudadano@mineducacion.gov.co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1357F" w14:textId="77777777" w:rsidR="00D913FA" w:rsidRDefault="00D913FA">
      <w:r>
        <w:separator/>
      </w:r>
    </w:p>
  </w:footnote>
  <w:footnote w:type="continuationSeparator" w:id="0">
    <w:p w14:paraId="5F9404E4" w14:textId="77777777" w:rsidR="00D913FA" w:rsidRDefault="00D9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FBF7" w14:textId="5DFFAEC6" w:rsidR="00CF05E3" w:rsidRDefault="000720C1" w:rsidP="0071175C">
    <w:pPr>
      <w:pStyle w:val="Encabezado"/>
      <w:jc w:val="right"/>
    </w:pPr>
    <w:r w:rsidRPr="005F77E1">
      <w:rPr>
        <w:noProof/>
        <w:lang w:val="es-CO" w:eastAsia="es-CO"/>
      </w:rPr>
      <w:drawing>
        <wp:inline distT="0" distB="0" distL="0" distR="0" wp14:anchorId="0F194CFB" wp14:editId="70934D0C">
          <wp:extent cx="4972050" cy="55245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5431" t="14195" r="5975" b="17194"/>
                  <a:stretch>
                    <a:fillRect/>
                  </a:stretch>
                </pic:blipFill>
                <pic:spPr bwMode="auto">
                  <a:xfrm>
                    <a:off x="0" y="0"/>
                    <a:ext cx="4972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C36"/>
    <w:multiLevelType w:val="multilevel"/>
    <w:tmpl w:val="60E239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67251D5"/>
    <w:multiLevelType w:val="hybridMultilevel"/>
    <w:tmpl w:val="54A82C9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9C82313"/>
    <w:multiLevelType w:val="hybridMultilevel"/>
    <w:tmpl w:val="9A8EC9B2"/>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3" w15:restartNumberingAfterBreak="0">
    <w:nsid w:val="4EDD427C"/>
    <w:multiLevelType w:val="hybridMultilevel"/>
    <w:tmpl w:val="AC585118"/>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4" w15:restartNumberingAfterBreak="0">
    <w:nsid w:val="56D146A3"/>
    <w:multiLevelType w:val="multilevel"/>
    <w:tmpl w:val="619CF6C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8F346D"/>
    <w:multiLevelType w:val="hybridMultilevel"/>
    <w:tmpl w:val="FE56E6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EA"/>
    <w:rsid w:val="00006F47"/>
    <w:rsid w:val="00054DD7"/>
    <w:rsid w:val="00057814"/>
    <w:rsid w:val="00064844"/>
    <w:rsid w:val="000720C1"/>
    <w:rsid w:val="000C10B5"/>
    <w:rsid w:val="000D6402"/>
    <w:rsid w:val="00101B88"/>
    <w:rsid w:val="00103D1B"/>
    <w:rsid w:val="00105C7B"/>
    <w:rsid w:val="0014017C"/>
    <w:rsid w:val="00166E4D"/>
    <w:rsid w:val="001B699D"/>
    <w:rsid w:val="001B7454"/>
    <w:rsid w:val="00224172"/>
    <w:rsid w:val="00270F17"/>
    <w:rsid w:val="002B0E6F"/>
    <w:rsid w:val="002B4817"/>
    <w:rsid w:val="002B6691"/>
    <w:rsid w:val="002D668A"/>
    <w:rsid w:val="00312E3A"/>
    <w:rsid w:val="00320850"/>
    <w:rsid w:val="00322CD9"/>
    <w:rsid w:val="0035081E"/>
    <w:rsid w:val="003D54CB"/>
    <w:rsid w:val="003E5740"/>
    <w:rsid w:val="00422BA8"/>
    <w:rsid w:val="00447D6C"/>
    <w:rsid w:val="0046270C"/>
    <w:rsid w:val="004727DE"/>
    <w:rsid w:val="004A246D"/>
    <w:rsid w:val="004A799F"/>
    <w:rsid w:val="004B6B14"/>
    <w:rsid w:val="004D6B1F"/>
    <w:rsid w:val="004E29AE"/>
    <w:rsid w:val="004F730C"/>
    <w:rsid w:val="00503A6C"/>
    <w:rsid w:val="00505390"/>
    <w:rsid w:val="0051217F"/>
    <w:rsid w:val="00521DEF"/>
    <w:rsid w:val="00532C4A"/>
    <w:rsid w:val="00534076"/>
    <w:rsid w:val="00570D32"/>
    <w:rsid w:val="00595FC1"/>
    <w:rsid w:val="005F77E1"/>
    <w:rsid w:val="00600073"/>
    <w:rsid w:val="00603B27"/>
    <w:rsid w:val="006A50CE"/>
    <w:rsid w:val="006F4019"/>
    <w:rsid w:val="0071175C"/>
    <w:rsid w:val="0072472C"/>
    <w:rsid w:val="007307C1"/>
    <w:rsid w:val="00734714"/>
    <w:rsid w:val="00743468"/>
    <w:rsid w:val="00750009"/>
    <w:rsid w:val="007564AA"/>
    <w:rsid w:val="007A29C8"/>
    <w:rsid w:val="007C11AE"/>
    <w:rsid w:val="007C7B44"/>
    <w:rsid w:val="007F0371"/>
    <w:rsid w:val="007F4AE4"/>
    <w:rsid w:val="00817566"/>
    <w:rsid w:val="0082392B"/>
    <w:rsid w:val="00830938"/>
    <w:rsid w:val="00833EA1"/>
    <w:rsid w:val="008444E6"/>
    <w:rsid w:val="00851C8A"/>
    <w:rsid w:val="00860E19"/>
    <w:rsid w:val="00861944"/>
    <w:rsid w:val="00872B93"/>
    <w:rsid w:val="0087603C"/>
    <w:rsid w:val="008C7B2A"/>
    <w:rsid w:val="008D53E8"/>
    <w:rsid w:val="008E2FC2"/>
    <w:rsid w:val="008E4636"/>
    <w:rsid w:val="00914653"/>
    <w:rsid w:val="00926654"/>
    <w:rsid w:val="009637DF"/>
    <w:rsid w:val="00976A54"/>
    <w:rsid w:val="009A5FF1"/>
    <w:rsid w:val="009A6B0B"/>
    <w:rsid w:val="009D5AC2"/>
    <w:rsid w:val="009E6A44"/>
    <w:rsid w:val="00A14884"/>
    <w:rsid w:val="00A43581"/>
    <w:rsid w:val="00A60165"/>
    <w:rsid w:val="00A77438"/>
    <w:rsid w:val="00A80E6E"/>
    <w:rsid w:val="00AF0BEA"/>
    <w:rsid w:val="00B752C9"/>
    <w:rsid w:val="00B77F82"/>
    <w:rsid w:val="00B83AB1"/>
    <w:rsid w:val="00BD21CA"/>
    <w:rsid w:val="00BE7A99"/>
    <w:rsid w:val="00C1654B"/>
    <w:rsid w:val="00C20E8C"/>
    <w:rsid w:val="00C21441"/>
    <w:rsid w:val="00C23AC9"/>
    <w:rsid w:val="00C640BF"/>
    <w:rsid w:val="00C64B4F"/>
    <w:rsid w:val="00C735CC"/>
    <w:rsid w:val="00C841D2"/>
    <w:rsid w:val="00CB01C3"/>
    <w:rsid w:val="00CB1998"/>
    <w:rsid w:val="00CC31C3"/>
    <w:rsid w:val="00CE21A9"/>
    <w:rsid w:val="00CE39BC"/>
    <w:rsid w:val="00CE6675"/>
    <w:rsid w:val="00CF05E3"/>
    <w:rsid w:val="00D352B9"/>
    <w:rsid w:val="00D37F45"/>
    <w:rsid w:val="00D44A14"/>
    <w:rsid w:val="00D55848"/>
    <w:rsid w:val="00D56AF7"/>
    <w:rsid w:val="00D66C7E"/>
    <w:rsid w:val="00D913FA"/>
    <w:rsid w:val="00DB6025"/>
    <w:rsid w:val="00DD309F"/>
    <w:rsid w:val="00E178A8"/>
    <w:rsid w:val="00E315C6"/>
    <w:rsid w:val="00E466FE"/>
    <w:rsid w:val="00E626C6"/>
    <w:rsid w:val="00E71560"/>
    <w:rsid w:val="00E81538"/>
    <w:rsid w:val="00EB2570"/>
    <w:rsid w:val="00ED1991"/>
    <w:rsid w:val="00ED418E"/>
    <w:rsid w:val="00F105F1"/>
    <w:rsid w:val="00F124B0"/>
    <w:rsid w:val="00F12AD0"/>
    <w:rsid w:val="00F24F59"/>
    <w:rsid w:val="00F318DD"/>
    <w:rsid w:val="00F424C9"/>
    <w:rsid w:val="00F536E4"/>
    <w:rsid w:val="00F61D7F"/>
    <w:rsid w:val="00F679E1"/>
    <w:rsid w:val="00FC77AA"/>
    <w:rsid w:val="00FD66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F4B6A6"/>
  <w14:defaultImageDpi w14:val="300"/>
  <w15:docId w15:val="{BC7B985A-CFBE-4CE4-8264-8BC747E4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BEA"/>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F0BEA"/>
    <w:pPr>
      <w:tabs>
        <w:tab w:val="center" w:pos="4419"/>
        <w:tab w:val="right" w:pos="8838"/>
      </w:tabs>
    </w:pPr>
  </w:style>
  <w:style w:type="character" w:customStyle="1" w:styleId="EncabezadoCar">
    <w:name w:val="Encabezado Car"/>
    <w:link w:val="Encabezado"/>
    <w:rsid w:val="00AF0BEA"/>
    <w:rPr>
      <w:rFonts w:ascii="Times New Roman" w:eastAsia="Times New Roman" w:hAnsi="Times New Roman" w:cs="Times New Roman"/>
      <w:lang w:val="es-ES"/>
    </w:rPr>
  </w:style>
  <w:style w:type="paragraph" w:styleId="NormalWeb">
    <w:name w:val="Normal (Web)"/>
    <w:basedOn w:val="Normal"/>
    <w:uiPriority w:val="99"/>
    <w:unhideWhenUsed/>
    <w:rsid w:val="00AF0BEA"/>
    <w:pPr>
      <w:spacing w:before="100" w:beforeAutospacing="1" w:after="100" w:afterAutospacing="1"/>
    </w:pPr>
    <w:rPr>
      <w:rFonts w:eastAsia="MS Mincho"/>
      <w:lang w:eastAsia="es-CO"/>
    </w:rPr>
  </w:style>
  <w:style w:type="paragraph" w:styleId="Prrafodelista">
    <w:name w:val="List Paragraph"/>
    <w:basedOn w:val="Normal"/>
    <w:uiPriority w:val="34"/>
    <w:qFormat/>
    <w:rsid w:val="00AF0BEA"/>
    <w:pPr>
      <w:ind w:left="720"/>
      <w:contextualSpacing/>
    </w:pPr>
  </w:style>
  <w:style w:type="paragraph" w:customStyle="1" w:styleId="Default">
    <w:name w:val="Default"/>
    <w:rsid w:val="00AF0BEA"/>
    <w:pPr>
      <w:autoSpaceDE w:val="0"/>
      <w:autoSpaceDN w:val="0"/>
      <w:adjustRightInd w:val="0"/>
    </w:pPr>
    <w:rPr>
      <w:rFonts w:ascii="Arial" w:eastAsia="Cambria" w:hAnsi="Arial" w:cs="Arial"/>
      <w:color w:val="000000"/>
      <w:sz w:val="24"/>
      <w:szCs w:val="24"/>
      <w:lang w:val="es-ES" w:eastAsia="en-US"/>
    </w:rPr>
  </w:style>
  <w:style w:type="paragraph" w:customStyle="1" w:styleId="CUERPOTEXTO">
    <w:name w:val="CUERPO TEXTO"/>
    <w:uiPriority w:val="99"/>
    <w:rsid w:val="00AF0BE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olor w:val="000000"/>
      <w:sz w:val="18"/>
      <w:szCs w:val="18"/>
    </w:rPr>
  </w:style>
  <w:style w:type="paragraph" w:styleId="Textodeglobo">
    <w:name w:val="Balloon Text"/>
    <w:basedOn w:val="Normal"/>
    <w:link w:val="TextodegloboCar"/>
    <w:uiPriority w:val="99"/>
    <w:semiHidden/>
    <w:unhideWhenUsed/>
    <w:rsid w:val="00976A54"/>
    <w:rPr>
      <w:rFonts w:ascii="Lucida Grande" w:hAnsi="Lucida Grande" w:cs="Lucida Grande"/>
      <w:sz w:val="18"/>
      <w:szCs w:val="18"/>
    </w:rPr>
  </w:style>
  <w:style w:type="character" w:customStyle="1" w:styleId="TextodegloboCar">
    <w:name w:val="Texto de globo Car"/>
    <w:link w:val="Textodeglobo"/>
    <w:uiPriority w:val="99"/>
    <w:semiHidden/>
    <w:rsid w:val="00976A54"/>
    <w:rPr>
      <w:rFonts w:ascii="Lucida Grande" w:eastAsia="Times New Roman" w:hAnsi="Lucida Grande" w:cs="Lucida Grande"/>
      <w:sz w:val="18"/>
      <w:szCs w:val="18"/>
      <w:lang w:val="es-ES"/>
    </w:rPr>
  </w:style>
  <w:style w:type="character" w:styleId="Refdecomentario">
    <w:name w:val="annotation reference"/>
    <w:uiPriority w:val="99"/>
    <w:semiHidden/>
    <w:unhideWhenUsed/>
    <w:rsid w:val="008444E6"/>
    <w:rPr>
      <w:sz w:val="16"/>
      <w:szCs w:val="16"/>
    </w:rPr>
  </w:style>
  <w:style w:type="paragraph" w:styleId="Textocomentario">
    <w:name w:val="annotation text"/>
    <w:basedOn w:val="Normal"/>
    <w:link w:val="TextocomentarioCar"/>
    <w:uiPriority w:val="99"/>
    <w:semiHidden/>
    <w:unhideWhenUsed/>
    <w:rsid w:val="008444E6"/>
    <w:rPr>
      <w:sz w:val="20"/>
      <w:szCs w:val="20"/>
    </w:rPr>
  </w:style>
  <w:style w:type="character" w:customStyle="1" w:styleId="TextocomentarioCar">
    <w:name w:val="Texto comentario Car"/>
    <w:link w:val="Textocomentario"/>
    <w:uiPriority w:val="99"/>
    <w:semiHidden/>
    <w:rsid w:val="008444E6"/>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8444E6"/>
    <w:rPr>
      <w:b/>
      <w:bCs/>
    </w:rPr>
  </w:style>
  <w:style w:type="character" w:customStyle="1" w:styleId="AsuntodelcomentarioCar">
    <w:name w:val="Asunto del comentario Car"/>
    <w:link w:val="Asuntodelcomentario"/>
    <w:uiPriority w:val="99"/>
    <w:semiHidden/>
    <w:rsid w:val="008444E6"/>
    <w:rPr>
      <w:rFonts w:ascii="Times New Roman" w:eastAsia="Times New Roman" w:hAnsi="Times New Roman" w:cs="Times New Roman"/>
      <w:b/>
      <w:bCs/>
      <w:sz w:val="20"/>
      <w:szCs w:val="20"/>
      <w:lang w:val="es-ES"/>
    </w:rPr>
  </w:style>
  <w:style w:type="paragraph" w:styleId="Piedepgina">
    <w:name w:val="footer"/>
    <w:basedOn w:val="Normal"/>
    <w:link w:val="PiedepginaCar"/>
    <w:uiPriority w:val="99"/>
    <w:unhideWhenUsed/>
    <w:rsid w:val="00312E3A"/>
    <w:pPr>
      <w:tabs>
        <w:tab w:val="center" w:pos="4419"/>
        <w:tab w:val="right" w:pos="8838"/>
      </w:tabs>
    </w:pPr>
  </w:style>
  <w:style w:type="character" w:customStyle="1" w:styleId="PiedepginaCar">
    <w:name w:val="Pie de página Car"/>
    <w:link w:val="Piedepgina"/>
    <w:uiPriority w:val="99"/>
    <w:rsid w:val="00312E3A"/>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6E85-285B-41D2-8B0D-1FCDF90D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Vélez Serna</dc:creator>
  <cp:keywords/>
  <cp:lastModifiedBy>Santiago Villegas Oyola</cp:lastModifiedBy>
  <cp:revision>2</cp:revision>
  <cp:lastPrinted>2015-09-04T15:15:00Z</cp:lastPrinted>
  <dcterms:created xsi:type="dcterms:W3CDTF">2018-07-06T16:20:00Z</dcterms:created>
  <dcterms:modified xsi:type="dcterms:W3CDTF">2018-07-06T16:20:00Z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