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E4" w:rsidRPr="009A5141" w:rsidRDefault="005F54E4">
      <w:pPr>
        <w:tabs>
          <w:tab w:val="left" w:pos="-720"/>
        </w:tabs>
        <w:jc w:val="center"/>
        <w:rPr>
          <w:rFonts w:cs="Arial"/>
        </w:rPr>
      </w:pPr>
      <w:bookmarkStart w:id="0" w:name="_GoBack"/>
      <w:bookmarkEnd w:id="0"/>
    </w:p>
    <w:p w:rsidR="005F54E4" w:rsidRPr="009A5141" w:rsidRDefault="00F43118">
      <w:pPr>
        <w:tabs>
          <w:tab w:val="left" w:pos="-720"/>
        </w:tabs>
        <w:jc w:val="center"/>
        <w:rPr>
          <w:rFonts w:cs="Arial"/>
        </w:rPr>
      </w:pPr>
      <w:r w:rsidRPr="009A5141">
        <w:rPr>
          <w:rFonts w:cs="Arial"/>
        </w:rPr>
        <w:t>(                                                                        )</w:t>
      </w:r>
    </w:p>
    <w:p w:rsidR="005F54E4" w:rsidRPr="009A5141" w:rsidRDefault="005F54E4">
      <w:pPr>
        <w:tabs>
          <w:tab w:val="left" w:pos="-720"/>
        </w:tabs>
        <w:jc w:val="center"/>
        <w:rPr>
          <w:rFonts w:cs="Arial"/>
        </w:rPr>
      </w:pPr>
    </w:p>
    <w:p w:rsidR="005F54E4" w:rsidRPr="009A5141" w:rsidRDefault="005F54E4">
      <w:pPr>
        <w:tabs>
          <w:tab w:val="left" w:pos="-720"/>
        </w:tabs>
        <w:jc w:val="center"/>
        <w:rPr>
          <w:rFonts w:cs="Arial"/>
        </w:rPr>
      </w:pPr>
    </w:p>
    <w:p w:rsidR="009A5141" w:rsidRPr="009A5141" w:rsidRDefault="009A5141" w:rsidP="009A5141">
      <w:pPr>
        <w:tabs>
          <w:tab w:val="left" w:pos="-720"/>
        </w:tabs>
        <w:jc w:val="center"/>
        <w:rPr>
          <w:rFonts w:cs="Arial"/>
          <w:bCs/>
        </w:rPr>
      </w:pPr>
      <w:r w:rsidRPr="009A5141">
        <w:rPr>
          <w:rFonts w:cs="Arial"/>
          <w:bCs/>
        </w:rPr>
        <w:t xml:space="preserve">&lt;&lt;Por el cual se </w:t>
      </w:r>
      <w:r w:rsidR="0050417E">
        <w:rPr>
          <w:rFonts w:cs="Arial"/>
          <w:bCs/>
        </w:rPr>
        <w:t xml:space="preserve">adiciona un parágrafo </w:t>
      </w:r>
      <w:r w:rsidR="0050417E" w:rsidRPr="00C1417F">
        <w:rPr>
          <w:rFonts w:cs="Arial"/>
          <w:bCs/>
        </w:rPr>
        <w:t>transitorio</w:t>
      </w:r>
      <w:r w:rsidR="0050417E">
        <w:rPr>
          <w:rFonts w:cs="Arial"/>
          <w:bCs/>
        </w:rPr>
        <w:t xml:space="preserve"> al artículo </w:t>
      </w:r>
      <w:r w:rsidR="00D504DD">
        <w:rPr>
          <w:rFonts w:cs="Arial"/>
          <w:bCs/>
        </w:rPr>
        <w:t>2.3.3.1.11.1</w:t>
      </w:r>
      <w:r w:rsidR="0050417E" w:rsidRPr="0050417E">
        <w:rPr>
          <w:rFonts w:cs="Arial"/>
          <w:bCs/>
        </w:rPr>
        <w:t>.</w:t>
      </w:r>
      <w:r w:rsidR="0050417E">
        <w:rPr>
          <w:rFonts w:cs="Arial"/>
          <w:bCs/>
        </w:rPr>
        <w:t xml:space="preserve"> </w:t>
      </w:r>
      <w:r w:rsidRPr="009A5141">
        <w:rPr>
          <w:rFonts w:cs="Arial"/>
          <w:bCs/>
        </w:rPr>
        <w:t>del Decreto 1075 de 2015&gt;&gt;</w:t>
      </w:r>
    </w:p>
    <w:p w:rsidR="009A5141" w:rsidRPr="009A5141" w:rsidRDefault="009A5141" w:rsidP="009A5141">
      <w:pPr>
        <w:tabs>
          <w:tab w:val="left" w:pos="-720"/>
        </w:tabs>
        <w:jc w:val="center"/>
        <w:rPr>
          <w:rFonts w:cs="Arial"/>
          <w:bCs/>
        </w:rPr>
      </w:pPr>
    </w:p>
    <w:p w:rsidR="009A5141" w:rsidRPr="009A5141" w:rsidRDefault="009A5141" w:rsidP="009A5141">
      <w:pPr>
        <w:tabs>
          <w:tab w:val="left" w:pos="-720"/>
        </w:tabs>
        <w:jc w:val="center"/>
        <w:rPr>
          <w:rFonts w:cs="Arial"/>
          <w:bCs/>
        </w:rPr>
      </w:pPr>
    </w:p>
    <w:p w:rsidR="009A5141" w:rsidRPr="009A5141" w:rsidRDefault="009A5141" w:rsidP="009A5141">
      <w:pPr>
        <w:tabs>
          <w:tab w:val="left" w:pos="-720"/>
        </w:tabs>
        <w:jc w:val="center"/>
        <w:rPr>
          <w:rFonts w:cs="Arial"/>
          <w:b/>
          <w:bCs/>
        </w:rPr>
      </w:pPr>
      <w:r w:rsidRPr="009A5141">
        <w:rPr>
          <w:rFonts w:cs="Arial"/>
          <w:b/>
          <w:bCs/>
        </w:rPr>
        <w:t>EL PRESIDENTE DE LA REPÚBLICA DE COLOMBIA</w:t>
      </w:r>
    </w:p>
    <w:p w:rsidR="009A5141" w:rsidRPr="009A5141" w:rsidRDefault="009A5141" w:rsidP="009A5141">
      <w:pPr>
        <w:tabs>
          <w:tab w:val="left" w:pos="-720"/>
        </w:tabs>
        <w:jc w:val="center"/>
        <w:rPr>
          <w:rFonts w:cs="Arial"/>
          <w:bCs/>
        </w:rPr>
      </w:pPr>
    </w:p>
    <w:p w:rsidR="009A5141" w:rsidRPr="009A5141" w:rsidRDefault="009A5141" w:rsidP="009A5141">
      <w:pPr>
        <w:tabs>
          <w:tab w:val="left" w:pos="-720"/>
        </w:tabs>
        <w:jc w:val="center"/>
        <w:rPr>
          <w:rFonts w:cs="Arial"/>
          <w:bCs/>
        </w:rPr>
      </w:pPr>
    </w:p>
    <w:p w:rsidR="009A5141" w:rsidRPr="009A5141" w:rsidRDefault="009A5141" w:rsidP="009A5141">
      <w:pPr>
        <w:tabs>
          <w:tab w:val="left" w:pos="-720"/>
        </w:tabs>
        <w:ind w:left="-142"/>
        <w:jc w:val="center"/>
        <w:rPr>
          <w:rFonts w:cs="Arial"/>
          <w:bCs/>
        </w:rPr>
      </w:pPr>
      <w:r w:rsidRPr="009A5141">
        <w:rPr>
          <w:rFonts w:cs="Arial"/>
          <w:bCs/>
        </w:rPr>
        <w:t>En ejercicio de sus facultades constitucionales y legales, en especial las conferidas en el numeral 11 del artículo 1</w:t>
      </w:r>
      <w:r w:rsidR="00856E65">
        <w:rPr>
          <w:rFonts w:cs="Arial"/>
          <w:bCs/>
        </w:rPr>
        <w:t>89 de la Constitución Política,</w:t>
      </w:r>
      <w:r w:rsidRPr="009A5141">
        <w:rPr>
          <w:rFonts w:cs="Arial"/>
          <w:bCs/>
        </w:rPr>
        <w:t xml:space="preserve"> el </w:t>
      </w:r>
      <w:r w:rsidR="0050417E">
        <w:rPr>
          <w:rFonts w:cs="Arial"/>
          <w:bCs/>
        </w:rPr>
        <w:t>artículo</w:t>
      </w:r>
      <w:r w:rsidR="0050417E" w:rsidRPr="0050417E">
        <w:rPr>
          <w:rFonts w:cs="Arial"/>
          <w:bCs/>
        </w:rPr>
        <w:t xml:space="preserve"> 86</w:t>
      </w:r>
      <w:r w:rsidR="0050417E">
        <w:rPr>
          <w:rFonts w:cs="Arial"/>
          <w:bCs/>
        </w:rPr>
        <w:t xml:space="preserve"> de la Ley 115 de 1994</w:t>
      </w:r>
      <w:r w:rsidRPr="009A5141">
        <w:rPr>
          <w:rFonts w:cs="Arial"/>
          <w:bCs/>
        </w:rPr>
        <w:t xml:space="preserve">, </w:t>
      </w:r>
      <w:r w:rsidR="00856E65">
        <w:rPr>
          <w:rFonts w:cs="Arial"/>
          <w:bCs/>
        </w:rPr>
        <w:t xml:space="preserve">el artículo 5 de la Ley 715 de 2001, </w:t>
      </w:r>
      <w:r w:rsidRPr="009A5141">
        <w:rPr>
          <w:rFonts w:cs="Arial"/>
          <w:bCs/>
        </w:rPr>
        <w:t>y</w:t>
      </w:r>
    </w:p>
    <w:p w:rsidR="009A5141" w:rsidRDefault="009A5141" w:rsidP="003322B2">
      <w:pPr>
        <w:tabs>
          <w:tab w:val="left" w:pos="-720"/>
        </w:tabs>
        <w:rPr>
          <w:rFonts w:cs="Arial"/>
          <w:bCs/>
        </w:rPr>
      </w:pPr>
    </w:p>
    <w:p w:rsidR="009A5141" w:rsidRPr="009A5141" w:rsidRDefault="009A5141" w:rsidP="009A5141">
      <w:pPr>
        <w:tabs>
          <w:tab w:val="left" w:pos="-720"/>
        </w:tabs>
        <w:jc w:val="center"/>
        <w:rPr>
          <w:rFonts w:cs="Arial"/>
          <w:b/>
          <w:bCs/>
        </w:rPr>
      </w:pPr>
      <w:r w:rsidRPr="009A5141">
        <w:rPr>
          <w:rFonts w:cs="Arial"/>
          <w:b/>
          <w:bCs/>
        </w:rPr>
        <w:t>CONSIDERANDO</w:t>
      </w:r>
    </w:p>
    <w:p w:rsidR="009A5141" w:rsidRPr="009A5141" w:rsidRDefault="009A5141" w:rsidP="009A5141">
      <w:pPr>
        <w:tabs>
          <w:tab w:val="left" w:pos="-720"/>
        </w:tabs>
        <w:jc w:val="both"/>
        <w:rPr>
          <w:rFonts w:cs="Arial"/>
          <w:bCs/>
        </w:rPr>
      </w:pPr>
    </w:p>
    <w:p w:rsidR="009A5141" w:rsidRPr="009A5141" w:rsidRDefault="009A5141" w:rsidP="009A5141">
      <w:pPr>
        <w:tabs>
          <w:tab w:val="left" w:pos="-720"/>
        </w:tabs>
        <w:jc w:val="both"/>
        <w:rPr>
          <w:rFonts w:cs="Arial"/>
          <w:bCs/>
        </w:rPr>
      </w:pPr>
    </w:p>
    <w:p w:rsidR="0050417E" w:rsidRPr="0050417E" w:rsidRDefault="0050417E" w:rsidP="0050417E">
      <w:pPr>
        <w:tabs>
          <w:tab w:val="left" w:pos="-720"/>
        </w:tabs>
        <w:jc w:val="both"/>
        <w:rPr>
          <w:rFonts w:cs="Arial"/>
          <w:bCs/>
          <w:lang w:val="es-CO"/>
        </w:rPr>
      </w:pPr>
      <w:r w:rsidRPr="0050417E">
        <w:rPr>
          <w:rFonts w:cs="Arial"/>
          <w:bCs/>
          <w:lang w:val="es-CO"/>
        </w:rPr>
        <w:t>Que de acuerdo con el inciso 1 del artículo 67 de la Constitución Política &lt;&lt;</w:t>
      </w:r>
      <w:r w:rsidRPr="0050417E">
        <w:rPr>
          <w:rFonts w:cs="Arial"/>
          <w:bCs/>
          <w:i/>
          <w:lang w:val="es-CO"/>
        </w:rPr>
        <w:t>La educación es un derecho de la persona y un servicio público que tiene una función social; con ella se busca el acceso al conocimiento, a la ciencia, a la técnica, ya los demás bienes y valores de la cultura</w:t>
      </w:r>
      <w:r w:rsidRPr="0050417E">
        <w:rPr>
          <w:rFonts w:cs="Arial"/>
          <w:bCs/>
          <w:lang w:val="es-CO"/>
        </w:rPr>
        <w:t xml:space="preserve">&gt;&gt;. </w:t>
      </w:r>
    </w:p>
    <w:p w:rsidR="0050417E" w:rsidRPr="0050417E" w:rsidRDefault="0050417E" w:rsidP="0050417E">
      <w:pPr>
        <w:tabs>
          <w:tab w:val="left" w:pos="-720"/>
        </w:tabs>
        <w:jc w:val="both"/>
        <w:rPr>
          <w:rFonts w:cs="Arial"/>
          <w:bCs/>
          <w:lang w:val="es-CO"/>
        </w:rPr>
      </w:pPr>
    </w:p>
    <w:p w:rsidR="0050417E" w:rsidRPr="0050417E" w:rsidRDefault="0050417E" w:rsidP="0050417E">
      <w:pPr>
        <w:tabs>
          <w:tab w:val="left" w:pos="-720"/>
        </w:tabs>
        <w:jc w:val="both"/>
        <w:rPr>
          <w:rFonts w:cs="Arial"/>
          <w:bCs/>
          <w:lang w:val="es-ES_tradnl"/>
        </w:rPr>
      </w:pPr>
      <w:r w:rsidRPr="0050417E">
        <w:rPr>
          <w:rFonts w:cs="Arial"/>
          <w:bCs/>
          <w:lang w:val="es-CO"/>
        </w:rPr>
        <w:t>Que según lo prescribe el inciso 5 del artículo 67 de la Constitución Política, &lt;&lt;</w:t>
      </w:r>
      <w:r w:rsidRPr="0050417E">
        <w:rPr>
          <w:rFonts w:cs="Arial"/>
          <w:bCs/>
          <w:i/>
          <w:lang w:val="es-CO"/>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sidRPr="0050417E">
        <w:rPr>
          <w:rFonts w:cs="Arial"/>
          <w:bCs/>
          <w:lang w:val="es-CO"/>
        </w:rPr>
        <w:t>&gt;&gt;.</w:t>
      </w:r>
    </w:p>
    <w:p w:rsidR="0050417E" w:rsidRPr="0050417E" w:rsidRDefault="0050417E" w:rsidP="0050417E">
      <w:pPr>
        <w:tabs>
          <w:tab w:val="left" w:pos="-720"/>
        </w:tabs>
        <w:jc w:val="both"/>
        <w:rPr>
          <w:rFonts w:cs="Arial"/>
          <w:bCs/>
          <w:lang w:val="es-ES_tradnl"/>
        </w:rPr>
      </w:pPr>
    </w:p>
    <w:p w:rsidR="0050417E" w:rsidRPr="0050417E" w:rsidRDefault="0050417E" w:rsidP="0050417E">
      <w:pPr>
        <w:tabs>
          <w:tab w:val="left" w:pos="-720"/>
        </w:tabs>
        <w:jc w:val="both"/>
        <w:rPr>
          <w:rFonts w:cs="Arial"/>
          <w:bCs/>
          <w:lang w:val="es-ES_tradnl"/>
        </w:rPr>
      </w:pPr>
      <w:r w:rsidRPr="0050417E">
        <w:rPr>
          <w:rFonts w:cs="Arial"/>
          <w:bCs/>
          <w:lang w:val="es-ES_tradnl"/>
        </w:rPr>
        <w:t>Que el artículo 4 de la Ley 115 de 1994 dispone que &lt;&lt;</w:t>
      </w:r>
      <w:r w:rsidRPr="0050417E">
        <w:rPr>
          <w:rFonts w:cs="Arial"/>
          <w:bCs/>
          <w:i/>
          <w:lang w:val="es-ES_tradnl"/>
        </w:rPr>
        <w:t>El Estado deberá atender en forma permanente los factores que favorecen la calidad y el mejoramiento de la educación</w:t>
      </w:r>
      <w:r w:rsidRPr="0050417E">
        <w:rPr>
          <w:rFonts w:cs="Arial"/>
          <w:bCs/>
          <w:lang w:val="es-ES_tradnl"/>
        </w:rPr>
        <w:t>&gt;&gt;.</w:t>
      </w:r>
    </w:p>
    <w:p w:rsidR="00231F35" w:rsidRDefault="00231F35" w:rsidP="0050417E">
      <w:pPr>
        <w:tabs>
          <w:tab w:val="left" w:pos="-720"/>
        </w:tabs>
        <w:jc w:val="both"/>
        <w:rPr>
          <w:rFonts w:cs="Arial"/>
          <w:bCs/>
          <w:lang w:val="es-ES_tradnl"/>
        </w:rPr>
      </w:pPr>
    </w:p>
    <w:p w:rsidR="00231F35" w:rsidRDefault="00231F35" w:rsidP="00231F35">
      <w:pPr>
        <w:tabs>
          <w:tab w:val="left" w:pos="-720"/>
        </w:tabs>
        <w:jc w:val="both"/>
        <w:rPr>
          <w:rFonts w:cs="Arial"/>
          <w:bCs/>
          <w:lang w:val="es-ES_tradnl"/>
        </w:rPr>
      </w:pPr>
      <w:r>
        <w:rPr>
          <w:rFonts w:cs="Arial"/>
          <w:bCs/>
          <w:lang w:val="es-ES_tradnl"/>
        </w:rPr>
        <w:t>Que</w:t>
      </w:r>
      <w:r w:rsidR="00307989">
        <w:rPr>
          <w:rFonts w:cs="Arial"/>
          <w:bCs/>
          <w:lang w:val="es-ES_tradnl"/>
        </w:rPr>
        <w:t>, con el fin de pensar en el mejoramiento de la educación y, especialmente, de la adaptación de la educación,</w:t>
      </w:r>
      <w:r>
        <w:rPr>
          <w:rFonts w:cs="Arial"/>
          <w:bCs/>
          <w:lang w:val="es-ES_tradnl"/>
        </w:rPr>
        <w:t xml:space="preserve"> el artículo 86 de la Ley 115 de 1994 consagra que los calendarios escolares deben ser flexibles</w:t>
      </w:r>
      <w:r w:rsidR="003322B2">
        <w:rPr>
          <w:rFonts w:cs="Arial"/>
          <w:bCs/>
          <w:lang w:val="es-ES_tradnl"/>
        </w:rPr>
        <w:t>,</w:t>
      </w:r>
      <w:r>
        <w:rPr>
          <w:rFonts w:cs="Arial"/>
          <w:bCs/>
          <w:lang w:val="es-ES_tradnl"/>
        </w:rPr>
        <w:t xml:space="preserve"> de tal forma que puedan </w:t>
      </w:r>
      <w:r w:rsidR="00307989">
        <w:rPr>
          <w:rFonts w:cs="Arial"/>
          <w:bCs/>
          <w:lang w:val="es-ES_tradnl"/>
        </w:rPr>
        <w:t>adecuarse</w:t>
      </w:r>
      <w:r>
        <w:rPr>
          <w:rFonts w:cs="Arial"/>
          <w:bCs/>
          <w:lang w:val="es-ES_tradnl"/>
        </w:rPr>
        <w:t xml:space="preserve"> a las condiciones económicos regionales y a las tradiciones de las instituciones educativas. </w:t>
      </w:r>
      <w:r w:rsidR="003322B2">
        <w:rPr>
          <w:rFonts w:cs="Arial"/>
          <w:bCs/>
          <w:lang w:val="es-ES_tradnl"/>
        </w:rPr>
        <w:t xml:space="preserve">Así, los calendarios pueden, por situaciones que puedan afectar el normal desarrollo de la educación en cada territorio, modificarse </w:t>
      </w:r>
      <w:r w:rsidR="00307989">
        <w:rPr>
          <w:rFonts w:cs="Arial"/>
          <w:bCs/>
          <w:lang w:val="es-ES_tradnl"/>
        </w:rPr>
        <w:t>para</w:t>
      </w:r>
      <w:r w:rsidR="003322B2">
        <w:rPr>
          <w:rFonts w:cs="Arial"/>
          <w:bCs/>
          <w:lang w:val="es-ES_tradnl"/>
        </w:rPr>
        <w:t xml:space="preserve"> </w:t>
      </w:r>
      <w:r w:rsidR="00307989">
        <w:rPr>
          <w:rFonts w:cs="Arial"/>
          <w:bCs/>
          <w:lang w:val="es-ES_tradnl"/>
        </w:rPr>
        <w:t>permitir la prestación idónea del servicio</w:t>
      </w:r>
      <w:r w:rsidR="00537E97">
        <w:rPr>
          <w:rFonts w:cs="Arial"/>
          <w:bCs/>
          <w:lang w:val="es-ES_tradnl"/>
        </w:rPr>
        <w:t xml:space="preserve">. </w:t>
      </w:r>
    </w:p>
    <w:p w:rsidR="00537E97" w:rsidRDefault="00537E97" w:rsidP="00231F35">
      <w:pPr>
        <w:tabs>
          <w:tab w:val="left" w:pos="-720"/>
        </w:tabs>
        <w:jc w:val="both"/>
        <w:rPr>
          <w:rFonts w:cs="Arial"/>
          <w:bCs/>
          <w:lang w:val="es-ES_tradnl"/>
        </w:rPr>
      </w:pPr>
    </w:p>
    <w:p w:rsidR="00307989" w:rsidRPr="00307989" w:rsidRDefault="00307989" w:rsidP="00231F35">
      <w:pPr>
        <w:tabs>
          <w:tab w:val="left" w:pos="-720"/>
        </w:tabs>
        <w:jc w:val="both"/>
        <w:rPr>
          <w:rFonts w:cs="Arial"/>
          <w:bCs/>
        </w:rPr>
      </w:pPr>
      <w:r>
        <w:rPr>
          <w:rFonts w:cs="Arial"/>
          <w:bCs/>
          <w:lang w:val="es-ES_tradnl"/>
        </w:rPr>
        <w:t xml:space="preserve">Que la Corte Constitucional en sentencia T-779 de 2011, reiterando la jurisprudencia de la sentencia </w:t>
      </w:r>
      <w:r w:rsidRPr="00307989">
        <w:rPr>
          <w:rFonts w:cs="Arial"/>
          <w:bCs/>
          <w:lang w:val="es-ES_tradnl"/>
        </w:rPr>
        <w:t>T- 781 de 2010</w:t>
      </w:r>
      <w:r>
        <w:rPr>
          <w:rFonts w:cs="Arial"/>
          <w:bCs/>
          <w:lang w:val="es-ES_tradnl"/>
        </w:rPr>
        <w:t xml:space="preserve">, dispuso que la educación vista como un derecho fundamental y como servicio público comprende cuatro dimensiones, a saber: (a) </w:t>
      </w:r>
      <w:r w:rsidRPr="00307989">
        <w:rPr>
          <w:rFonts w:cs="Arial"/>
          <w:bCs/>
        </w:rPr>
        <w:t>disponibilidad del servicio</w:t>
      </w:r>
      <w:r>
        <w:rPr>
          <w:rFonts w:cs="Arial"/>
          <w:bCs/>
        </w:rPr>
        <w:t xml:space="preserve">; (b) </w:t>
      </w:r>
      <w:r w:rsidRPr="00307989">
        <w:rPr>
          <w:rFonts w:cs="Arial"/>
          <w:bCs/>
        </w:rPr>
        <w:t>accesibilidad</w:t>
      </w:r>
      <w:r>
        <w:rPr>
          <w:rFonts w:cs="Arial"/>
          <w:bCs/>
        </w:rPr>
        <w:t xml:space="preserve">; (c) </w:t>
      </w:r>
      <w:r w:rsidRPr="00307989">
        <w:rPr>
          <w:rFonts w:cs="Arial"/>
          <w:bCs/>
        </w:rPr>
        <w:t>adaptabilidad</w:t>
      </w:r>
      <w:r>
        <w:rPr>
          <w:rFonts w:cs="Arial"/>
          <w:bCs/>
        </w:rPr>
        <w:t xml:space="preserve"> y (d) </w:t>
      </w:r>
      <w:r w:rsidRPr="00307989">
        <w:rPr>
          <w:rFonts w:cs="Arial"/>
          <w:bCs/>
        </w:rPr>
        <w:t>aceptabilidad</w:t>
      </w:r>
      <w:r>
        <w:rPr>
          <w:rFonts w:cs="Arial"/>
          <w:bCs/>
        </w:rPr>
        <w:t xml:space="preserve">. De esta forma, en términos generales, estas cuatro dimensiones se resumen en que el Estado debe garantizar que haya el número de instituciones educativas suficientes para que todas las personas puedan acceder al servicio, </w:t>
      </w:r>
      <w:r w:rsidRPr="00307989">
        <w:rPr>
          <w:rFonts w:cs="Arial"/>
          <w:bCs/>
        </w:rPr>
        <w:t xml:space="preserve">que </w:t>
      </w:r>
      <w:r>
        <w:rPr>
          <w:rFonts w:cs="Arial"/>
          <w:bCs/>
        </w:rPr>
        <w:t xml:space="preserve">se pueda adecuar a las necesidades del servicio, que se garantice </w:t>
      </w:r>
      <w:r w:rsidRPr="00307989">
        <w:rPr>
          <w:rFonts w:cs="Arial"/>
          <w:bCs/>
        </w:rPr>
        <w:t>la continuidad en su prestación</w:t>
      </w:r>
      <w:r>
        <w:rPr>
          <w:rFonts w:cs="Arial"/>
          <w:bCs/>
        </w:rPr>
        <w:t xml:space="preserve"> y que se preste en condiciones de calidad.</w:t>
      </w:r>
    </w:p>
    <w:p w:rsidR="00537E97" w:rsidRDefault="00537E97" w:rsidP="00231F35">
      <w:pPr>
        <w:tabs>
          <w:tab w:val="left" w:pos="-720"/>
        </w:tabs>
        <w:jc w:val="both"/>
        <w:rPr>
          <w:rFonts w:cs="Arial"/>
          <w:bCs/>
          <w:lang w:val="es-ES_tradnl"/>
        </w:rPr>
      </w:pPr>
    </w:p>
    <w:p w:rsidR="003322B2" w:rsidRDefault="00307989" w:rsidP="00231F35">
      <w:pPr>
        <w:tabs>
          <w:tab w:val="left" w:pos="-720"/>
        </w:tabs>
        <w:jc w:val="both"/>
        <w:rPr>
          <w:rFonts w:cs="Arial"/>
          <w:bCs/>
          <w:lang w:val="es-ES_tradnl"/>
        </w:rPr>
      </w:pPr>
      <w:r>
        <w:rPr>
          <w:rFonts w:cs="Arial"/>
          <w:bCs/>
          <w:lang w:val="es-ES_tradnl"/>
        </w:rPr>
        <w:lastRenderedPageBreak/>
        <w:t xml:space="preserve">Que, de otra parte, </w:t>
      </w:r>
      <w:r w:rsidR="00E0679C">
        <w:rPr>
          <w:rFonts w:cs="Arial"/>
          <w:bCs/>
        </w:rPr>
        <w:t>e</w:t>
      </w:r>
      <w:r w:rsidR="00E0679C" w:rsidRPr="00E0679C">
        <w:rPr>
          <w:rFonts w:cs="Arial"/>
          <w:bCs/>
        </w:rPr>
        <w:t xml:space="preserve">n el marco de los parámetros generales de las negociaciones colectivas de los empleados públicos, reglamentada por el Decreto 160 de 2014 (compilado en el Decreto 1072 de 2015), </w:t>
      </w:r>
      <w:r w:rsidR="00E0679C">
        <w:rPr>
          <w:rFonts w:cs="Arial"/>
          <w:bCs/>
          <w:lang w:val="es-ES_tradnl"/>
        </w:rPr>
        <w:t xml:space="preserve">la Federación Colombiana de Trabajadores de la Educación (FECODE) </w:t>
      </w:r>
      <w:r w:rsidR="00E0679C" w:rsidRPr="00E0679C">
        <w:rPr>
          <w:rFonts w:cs="Arial"/>
          <w:bCs/>
        </w:rPr>
        <w:t>presentó el día 28 de febrero de 2017 ante el Ministerio de Educación Nacional un pliego de solicitudes con siete puntos principales, a saber: (i) política educativa; (ii) carrera docente; (iii) económico; (iv) salud; (v) prestacional; (vi) bienestar y (vii) garantías sindicales, laborales y de participación.</w:t>
      </w:r>
      <w:r w:rsidR="00E0679C">
        <w:rPr>
          <w:rFonts w:cs="Arial"/>
          <w:bCs/>
        </w:rPr>
        <w:t xml:space="preserve"> Sin embargo, a pesar del avance de las negociaciones, FECODE </w:t>
      </w:r>
      <w:r w:rsidR="00E0679C">
        <w:rPr>
          <w:rFonts w:cs="Arial"/>
          <w:bCs/>
          <w:lang w:val="es-ES_tradnl"/>
        </w:rPr>
        <w:t>declaró</w:t>
      </w:r>
      <w:r w:rsidR="00E0679C" w:rsidRPr="00E0679C">
        <w:rPr>
          <w:rFonts w:cs="Arial"/>
          <w:bCs/>
          <w:lang w:val="es-ES_tradnl"/>
        </w:rPr>
        <w:t xml:space="preserve"> el cese de actividades</w:t>
      </w:r>
      <w:r w:rsidR="00E0679C">
        <w:rPr>
          <w:rFonts w:cs="Arial"/>
          <w:bCs/>
          <w:lang w:val="es-ES_tradnl"/>
        </w:rPr>
        <w:t xml:space="preserve"> del Magisterio colombiano</w:t>
      </w:r>
      <w:r w:rsidR="00E0679C" w:rsidRPr="00E0679C">
        <w:rPr>
          <w:rFonts w:cs="Arial"/>
          <w:bCs/>
          <w:lang w:val="es-ES_tradnl"/>
        </w:rPr>
        <w:t xml:space="preserve"> a partir del 11 de mayo de 2017</w:t>
      </w:r>
      <w:r w:rsidR="00E0679C">
        <w:rPr>
          <w:rFonts w:cs="Arial"/>
          <w:bCs/>
          <w:lang w:val="es-ES_tradnl"/>
        </w:rPr>
        <w:t xml:space="preserve"> por lo que, desde esa fecha, algunos de los educadores del país pararon de trabajar y los niños dejaron de recibir clases en sus instituciones educativas.</w:t>
      </w:r>
    </w:p>
    <w:p w:rsidR="00E0679C" w:rsidRDefault="00E0679C" w:rsidP="00231F35">
      <w:pPr>
        <w:tabs>
          <w:tab w:val="left" w:pos="-720"/>
        </w:tabs>
        <w:jc w:val="both"/>
        <w:rPr>
          <w:rFonts w:cs="Arial"/>
          <w:bCs/>
          <w:lang w:val="es-ES_tradnl"/>
        </w:rPr>
      </w:pPr>
    </w:p>
    <w:p w:rsidR="00E0679C" w:rsidRDefault="00E0679C" w:rsidP="00231F35">
      <w:pPr>
        <w:tabs>
          <w:tab w:val="left" w:pos="-720"/>
        </w:tabs>
        <w:jc w:val="both"/>
        <w:rPr>
          <w:rFonts w:cs="Arial"/>
          <w:bCs/>
          <w:lang w:val="es-ES_tradnl"/>
        </w:rPr>
      </w:pPr>
      <w:r>
        <w:rPr>
          <w:rFonts w:cs="Arial"/>
          <w:bCs/>
          <w:lang w:val="es-ES_tradnl"/>
        </w:rPr>
        <w:t xml:space="preserve">Que el cese de actividades del Magisterio se prolongó </w:t>
      </w:r>
      <w:r w:rsidR="00A6187F">
        <w:rPr>
          <w:rFonts w:cs="Arial"/>
          <w:bCs/>
          <w:lang w:val="es-ES_tradnl"/>
        </w:rPr>
        <w:t xml:space="preserve">por 26 días hábiles, </w:t>
      </w:r>
      <w:r>
        <w:rPr>
          <w:rFonts w:cs="Arial"/>
          <w:bCs/>
          <w:lang w:val="es-ES_tradnl"/>
        </w:rPr>
        <w:t>hasta el día 16 de junio de 2017, fecha en la cual, luego de las negociaciones con FECODE</w:t>
      </w:r>
      <w:r w:rsidR="00A6187F">
        <w:rPr>
          <w:rFonts w:cs="Arial"/>
          <w:bCs/>
          <w:lang w:val="es-ES_tradnl"/>
        </w:rPr>
        <w:t xml:space="preserve"> se logró la suscripción del Acta de Acuerdos que declaró </w:t>
      </w:r>
      <w:r>
        <w:rPr>
          <w:rFonts w:cs="Arial"/>
          <w:bCs/>
          <w:lang w:val="es-ES_tradnl"/>
        </w:rPr>
        <w:t>la normalidad laboral</w:t>
      </w:r>
      <w:r w:rsidR="00A6187F">
        <w:rPr>
          <w:rFonts w:cs="Arial"/>
          <w:bCs/>
          <w:lang w:val="es-ES_tradnl"/>
        </w:rPr>
        <w:t xml:space="preserve"> del Magisterio colombiano</w:t>
      </w:r>
      <w:r>
        <w:rPr>
          <w:rFonts w:cs="Arial"/>
          <w:bCs/>
          <w:lang w:val="es-ES_tradnl"/>
        </w:rPr>
        <w:t xml:space="preserve">. </w:t>
      </w:r>
    </w:p>
    <w:p w:rsidR="00A6187F" w:rsidRDefault="00A6187F" w:rsidP="00231F35">
      <w:pPr>
        <w:tabs>
          <w:tab w:val="left" w:pos="-720"/>
        </w:tabs>
        <w:jc w:val="both"/>
        <w:rPr>
          <w:rFonts w:cs="Arial"/>
          <w:bCs/>
          <w:lang w:val="es-ES_tradnl"/>
        </w:rPr>
      </w:pPr>
    </w:p>
    <w:p w:rsidR="00047829" w:rsidRDefault="00047829" w:rsidP="00047829">
      <w:pPr>
        <w:tabs>
          <w:tab w:val="left" w:pos="-720"/>
        </w:tabs>
        <w:jc w:val="both"/>
        <w:rPr>
          <w:rFonts w:cs="Arial"/>
          <w:bCs/>
          <w:lang w:val="es-ES_tradnl"/>
        </w:rPr>
      </w:pPr>
      <w:r>
        <w:rPr>
          <w:rFonts w:cs="Arial"/>
          <w:bCs/>
          <w:lang w:val="es-ES_tradnl"/>
        </w:rPr>
        <w:t xml:space="preserve">Que el Ministerio de Educación Nacional, ante el cese de actividades de los educadores, emitió la Directiva </w:t>
      </w:r>
      <w:r w:rsidR="004B526F">
        <w:rPr>
          <w:rFonts w:cs="Arial"/>
          <w:bCs/>
          <w:lang w:val="es-ES_tradnl"/>
        </w:rPr>
        <w:t xml:space="preserve">No. </w:t>
      </w:r>
      <w:r>
        <w:rPr>
          <w:rFonts w:cs="Arial"/>
          <w:bCs/>
          <w:lang w:val="es-ES_tradnl"/>
        </w:rPr>
        <w:t xml:space="preserve">37 de 2017 en la cual solicitó a las secretarías de educación una propuesta de </w:t>
      </w:r>
      <w:r w:rsidRPr="00E0679C">
        <w:rPr>
          <w:rFonts w:cs="Arial"/>
          <w:bCs/>
          <w:lang w:val="es-CO"/>
        </w:rPr>
        <w:t>recuperación efectiva de las semanas o días no laborados por parte de los directivos docentes y docentes que participaron total o parcialmente en el cese de actividades, y el ofrecimiento a los estudiantes de las horas efectivas de intensidades académicas dejadas de recibir</w:t>
      </w:r>
      <w:r>
        <w:rPr>
          <w:rFonts w:cs="Arial"/>
          <w:bCs/>
          <w:lang w:val="es-CO"/>
        </w:rPr>
        <w:t xml:space="preserve">. En el mismo sentido, el Acta de Acuerdos con FECODE en sus consideraciones finales establece expresamente que el Magisterio se compromete a la recuperación de las clases y a organizar el proceso de reposición de actividades académicas. </w:t>
      </w:r>
    </w:p>
    <w:p w:rsidR="00A6187F" w:rsidRDefault="00A6187F" w:rsidP="00231F35">
      <w:pPr>
        <w:tabs>
          <w:tab w:val="left" w:pos="-720"/>
        </w:tabs>
        <w:jc w:val="both"/>
        <w:rPr>
          <w:rFonts w:cs="Arial"/>
          <w:bCs/>
          <w:lang w:val="es-ES_tradnl"/>
        </w:rPr>
      </w:pPr>
    </w:p>
    <w:p w:rsidR="00856E65" w:rsidRDefault="00856E65" w:rsidP="00231F35">
      <w:pPr>
        <w:tabs>
          <w:tab w:val="left" w:pos="-720"/>
        </w:tabs>
        <w:jc w:val="both"/>
        <w:rPr>
          <w:rFonts w:cs="Arial"/>
          <w:bCs/>
          <w:lang w:val="es-CO"/>
        </w:rPr>
      </w:pPr>
      <w:r>
        <w:rPr>
          <w:rFonts w:cs="Arial"/>
          <w:bCs/>
          <w:lang w:val="es-ES_tradnl"/>
        </w:rPr>
        <w:t xml:space="preserve">Que, de esta forma, este hecho extraordinario, imprevisible e imprevisto afectó </w:t>
      </w:r>
      <w:r w:rsidR="00F6531B">
        <w:rPr>
          <w:rFonts w:cs="Arial"/>
          <w:bCs/>
          <w:lang w:val="es-ES_tradnl"/>
        </w:rPr>
        <w:t xml:space="preserve">durante 26 días hábiles </w:t>
      </w:r>
      <w:r>
        <w:rPr>
          <w:rFonts w:cs="Arial"/>
          <w:bCs/>
          <w:lang w:val="es-ES_tradnl"/>
        </w:rPr>
        <w:t xml:space="preserve">la normal prestación del servicio de educación en el año 2017 </w:t>
      </w:r>
      <w:r w:rsidR="00F6531B">
        <w:rPr>
          <w:rFonts w:cs="Arial"/>
          <w:bCs/>
          <w:lang w:val="es-ES_tradnl"/>
        </w:rPr>
        <w:t xml:space="preserve">y es por eso que el Estado debe tomar medidas excepcionales para conjurar y facilitar la recuperación efectiva de los días o semanas no laborados por parte de los </w:t>
      </w:r>
      <w:r w:rsidR="00F6531B" w:rsidRPr="00E0679C">
        <w:rPr>
          <w:rFonts w:cs="Arial"/>
          <w:bCs/>
          <w:lang w:val="es-CO"/>
        </w:rPr>
        <w:t>directivos docentes y docentes que participaron total o parcialmente en el cese de actividades</w:t>
      </w:r>
      <w:r w:rsidR="00F6531B">
        <w:rPr>
          <w:rFonts w:cs="Arial"/>
          <w:bCs/>
          <w:lang w:val="es-CO"/>
        </w:rPr>
        <w:t xml:space="preserve">. Medidas que se fundamentan en la protección especial y en la garantía del derecho a la educación de los estudiantes colombianos. </w:t>
      </w:r>
    </w:p>
    <w:p w:rsidR="00F6531B" w:rsidRDefault="00F6531B" w:rsidP="00231F35">
      <w:pPr>
        <w:tabs>
          <w:tab w:val="left" w:pos="-720"/>
        </w:tabs>
        <w:jc w:val="both"/>
        <w:rPr>
          <w:rFonts w:cs="Arial"/>
          <w:bCs/>
          <w:lang w:val="es-CO"/>
        </w:rPr>
      </w:pPr>
    </w:p>
    <w:p w:rsidR="00F6531B" w:rsidRPr="00F6531B" w:rsidRDefault="00F6531B" w:rsidP="00F6531B">
      <w:pPr>
        <w:tabs>
          <w:tab w:val="left" w:pos="-720"/>
        </w:tabs>
        <w:jc w:val="both"/>
        <w:rPr>
          <w:rFonts w:cs="Arial"/>
          <w:bCs/>
          <w:lang w:val="es-CO"/>
        </w:rPr>
      </w:pPr>
      <w:r>
        <w:rPr>
          <w:rFonts w:cs="Arial"/>
          <w:bCs/>
          <w:lang w:val="es-CO"/>
        </w:rPr>
        <w:t xml:space="preserve">Que el artículo </w:t>
      </w:r>
      <w:r w:rsidRPr="00F6531B">
        <w:rPr>
          <w:rFonts w:cs="Arial"/>
          <w:bCs/>
          <w:lang w:val="es-CO"/>
        </w:rPr>
        <w:t xml:space="preserve">2.3.3.1.11.1. </w:t>
      </w:r>
      <w:r>
        <w:rPr>
          <w:rFonts w:cs="Arial"/>
          <w:bCs/>
          <w:lang w:val="es-CO"/>
        </w:rPr>
        <w:t xml:space="preserve">del Decreto 1075 de 2015 dispone la incorporación en el calendario académico de </w:t>
      </w:r>
      <w:r w:rsidRPr="00F6531B">
        <w:rPr>
          <w:rFonts w:cs="Arial"/>
          <w:bCs/>
        </w:rPr>
        <w:t>cinco</w:t>
      </w:r>
      <w:r>
        <w:rPr>
          <w:rFonts w:cs="Arial"/>
          <w:bCs/>
        </w:rPr>
        <w:t xml:space="preserve"> </w:t>
      </w:r>
      <w:r w:rsidRPr="00F6531B">
        <w:rPr>
          <w:rFonts w:cs="Arial"/>
          <w:bCs/>
          <w:lang w:val="es-CO"/>
        </w:rPr>
        <w:t>(5) días de receso estudiantil en la semana inmediatamente anterior al día feriado en que se conmemora el Descubrimiento de América</w:t>
      </w:r>
      <w:r>
        <w:rPr>
          <w:rFonts w:cs="Arial"/>
          <w:bCs/>
          <w:lang w:val="es-CO"/>
        </w:rPr>
        <w:t xml:space="preserve"> y que</w:t>
      </w:r>
      <w:r w:rsidR="00C659DE">
        <w:rPr>
          <w:rFonts w:cs="Arial"/>
          <w:bCs/>
          <w:lang w:val="es-CO"/>
        </w:rPr>
        <w:t>, de acuerdo con el artículo 2.3.3.1.11.3. del mismo Decreto,</w:t>
      </w:r>
      <w:r>
        <w:rPr>
          <w:rFonts w:cs="Arial"/>
          <w:bCs/>
          <w:lang w:val="es-CO"/>
        </w:rPr>
        <w:t xml:space="preserve"> para los docentes </w:t>
      </w:r>
      <w:r w:rsidRPr="00F6531B">
        <w:rPr>
          <w:rFonts w:cs="Arial"/>
          <w:bCs/>
        </w:rPr>
        <w:t>y directivos docentes al servicio del Estado</w:t>
      </w:r>
      <w:r>
        <w:rPr>
          <w:rFonts w:cs="Arial"/>
          <w:bCs/>
        </w:rPr>
        <w:t xml:space="preserve"> será una de las semanas de</w:t>
      </w:r>
      <w:r w:rsidRPr="00F6531B">
        <w:rPr>
          <w:rFonts w:cs="Arial"/>
          <w:color w:val="000000"/>
          <w:sz w:val="18"/>
          <w:szCs w:val="18"/>
        </w:rPr>
        <w:t xml:space="preserve"> </w:t>
      </w:r>
      <w:r w:rsidRPr="00F6531B">
        <w:rPr>
          <w:rFonts w:cs="Arial"/>
          <w:bCs/>
        </w:rPr>
        <w:t>desarrollo institucional previstas en el artículo </w:t>
      </w:r>
      <w:r w:rsidRPr="00F6531B">
        <w:rPr>
          <w:rFonts w:cs="Arial"/>
        </w:rPr>
        <w:t>2.4.3.2.4</w:t>
      </w:r>
      <w:r w:rsidRPr="00F6531B">
        <w:rPr>
          <w:rFonts w:cs="Arial"/>
          <w:bCs/>
        </w:rPr>
        <w:t>.</w:t>
      </w:r>
      <w:r w:rsidR="00C659DE">
        <w:rPr>
          <w:rFonts w:cs="Arial"/>
          <w:bCs/>
        </w:rPr>
        <w:t xml:space="preserve"> del mismo</w:t>
      </w:r>
      <w:r>
        <w:rPr>
          <w:rFonts w:cs="Arial"/>
          <w:bCs/>
          <w:lang w:val="es-CO"/>
        </w:rPr>
        <w:t xml:space="preserve">. </w:t>
      </w:r>
    </w:p>
    <w:p w:rsidR="00F6531B" w:rsidRDefault="00F6531B" w:rsidP="00231F35">
      <w:pPr>
        <w:tabs>
          <w:tab w:val="left" w:pos="-720"/>
        </w:tabs>
        <w:jc w:val="both"/>
        <w:rPr>
          <w:rFonts w:cs="Arial"/>
          <w:bCs/>
          <w:lang w:val="es-ES_tradnl"/>
        </w:rPr>
      </w:pPr>
    </w:p>
    <w:p w:rsidR="00C659DE" w:rsidRDefault="00C659DE" w:rsidP="00231F35">
      <w:pPr>
        <w:tabs>
          <w:tab w:val="left" w:pos="-720"/>
        </w:tabs>
        <w:jc w:val="both"/>
        <w:rPr>
          <w:rFonts w:cs="Arial"/>
          <w:bCs/>
          <w:lang w:val="es-CO"/>
        </w:rPr>
      </w:pPr>
      <w:r>
        <w:rPr>
          <w:rFonts w:cs="Arial"/>
          <w:bCs/>
          <w:lang w:val="es-ES_tradnl"/>
        </w:rPr>
        <w:t xml:space="preserve">Que, por lo anterior, </w:t>
      </w:r>
      <w:r>
        <w:rPr>
          <w:rFonts w:cs="Arial"/>
          <w:bCs/>
        </w:rPr>
        <w:t xml:space="preserve">se debe tomar una medida transitoria que facilite la recuperación de las clases y permitir que, por la actual anualidad, la semana de </w:t>
      </w:r>
      <w:r w:rsidR="00D504DD">
        <w:rPr>
          <w:rFonts w:cs="Arial"/>
          <w:bCs/>
        </w:rPr>
        <w:t>desarrollo</w:t>
      </w:r>
      <w:r>
        <w:rPr>
          <w:rFonts w:cs="Arial"/>
          <w:bCs/>
        </w:rPr>
        <w:t xml:space="preserve"> institucional dispuesta para la </w:t>
      </w:r>
      <w:r w:rsidRPr="00F6531B">
        <w:rPr>
          <w:rFonts w:cs="Arial"/>
          <w:bCs/>
          <w:lang w:val="es-CO"/>
        </w:rPr>
        <w:t>semana inmediatamente anterior al día feriado en que se conmemora el Descubrimiento de América</w:t>
      </w:r>
      <w:r>
        <w:rPr>
          <w:rFonts w:cs="Arial"/>
          <w:bCs/>
          <w:lang w:val="es-CO"/>
        </w:rPr>
        <w:t xml:space="preserve"> pueda ser usada para la reposición de clases en aquellas entidades territoriales certificadas en educación que así lo consideren. Así las cosas, en el año 2017 no habrá lugar al receso estudiantil que dispone el artículo </w:t>
      </w:r>
      <w:r w:rsidRPr="00C659DE">
        <w:rPr>
          <w:rFonts w:cs="Arial"/>
          <w:bCs/>
          <w:lang w:val="es-CO"/>
        </w:rPr>
        <w:t>2.3.3.1.11.1</w:t>
      </w:r>
      <w:r>
        <w:rPr>
          <w:rFonts w:cs="Arial"/>
          <w:bCs/>
          <w:lang w:val="es-CO"/>
        </w:rPr>
        <w:t xml:space="preserve"> del Decreto 1075 de 2015 en las entidades territoriales que opten por esta medida netamente transitoria</w:t>
      </w:r>
      <w:r w:rsidR="00886885">
        <w:rPr>
          <w:rFonts w:cs="Arial"/>
          <w:bCs/>
          <w:lang w:val="es-CO"/>
        </w:rPr>
        <w:t xml:space="preserve"> para proteger el derecho a la educación de los niños y niñas de su territorio. </w:t>
      </w:r>
    </w:p>
    <w:p w:rsidR="00886885" w:rsidRDefault="00886885" w:rsidP="00231F35">
      <w:pPr>
        <w:tabs>
          <w:tab w:val="left" w:pos="-720"/>
        </w:tabs>
        <w:jc w:val="both"/>
        <w:rPr>
          <w:rFonts w:cs="Arial"/>
          <w:bCs/>
          <w:lang w:val="es-CO"/>
        </w:rPr>
      </w:pPr>
    </w:p>
    <w:p w:rsidR="0050417E" w:rsidRDefault="00886885" w:rsidP="0050417E">
      <w:pPr>
        <w:tabs>
          <w:tab w:val="left" w:pos="-720"/>
        </w:tabs>
        <w:jc w:val="both"/>
        <w:rPr>
          <w:rFonts w:cs="Arial"/>
          <w:bCs/>
          <w:lang w:val="es-ES_tradnl"/>
        </w:rPr>
      </w:pPr>
      <w:r>
        <w:rPr>
          <w:rFonts w:cs="Arial"/>
          <w:bCs/>
          <w:lang w:val="es-CO"/>
        </w:rPr>
        <w:t xml:space="preserve">Que, debe recordarse que esta norma se fundamenta en la competencia que le otorgó el numeral 2 del artículo 5 de la Ley 715 de 2001 a la Nación para regular la prestación de los servicios educativos estatales y no estatales. </w:t>
      </w:r>
      <w:r>
        <w:rPr>
          <w:rFonts w:cs="Arial"/>
          <w:bCs/>
          <w:lang w:val="es-ES_tradnl"/>
        </w:rPr>
        <w:t>Al igual que en l</w:t>
      </w:r>
      <w:r w:rsidR="003322B2">
        <w:rPr>
          <w:rFonts w:cs="Arial"/>
          <w:bCs/>
          <w:lang w:val="es-ES_tradnl"/>
        </w:rPr>
        <w:t xml:space="preserve">os numerales </w:t>
      </w:r>
      <w:r w:rsidR="003322B2" w:rsidRPr="003322B2">
        <w:rPr>
          <w:rFonts w:cs="Arial"/>
          <w:bCs/>
        </w:rPr>
        <w:t>6.2.1</w:t>
      </w:r>
      <w:r w:rsidR="003322B2">
        <w:rPr>
          <w:rFonts w:cs="Arial"/>
          <w:bCs/>
        </w:rPr>
        <w:t xml:space="preserve"> y </w:t>
      </w:r>
      <w:r w:rsidR="003322B2" w:rsidRPr="003322B2">
        <w:rPr>
          <w:rFonts w:cs="Arial"/>
          <w:bCs/>
        </w:rPr>
        <w:t>7.1.</w:t>
      </w:r>
      <w:r w:rsidR="003322B2">
        <w:rPr>
          <w:rFonts w:cs="Arial"/>
          <w:bCs/>
        </w:rPr>
        <w:t xml:space="preserve"> de los artículos 6 y 7 de la misma Ley</w:t>
      </w:r>
      <w:r>
        <w:rPr>
          <w:rFonts w:cs="Arial"/>
          <w:bCs/>
        </w:rPr>
        <w:t xml:space="preserve"> que le</w:t>
      </w:r>
      <w:r w:rsidR="003425E5">
        <w:rPr>
          <w:rFonts w:cs="Arial"/>
          <w:bCs/>
        </w:rPr>
        <w:t>s</w:t>
      </w:r>
      <w:r>
        <w:rPr>
          <w:rFonts w:cs="Arial"/>
          <w:bCs/>
        </w:rPr>
        <w:t xml:space="preserve"> permite a </w:t>
      </w:r>
      <w:r w:rsidR="003322B2">
        <w:rPr>
          <w:rFonts w:cs="Arial"/>
          <w:bCs/>
          <w:lang w:val="es-ES_tradnl"/>
        </w:rPr>
        <w:t>las entidades territoriales certificadas en educación tomar las medidas pertinentes para</w:t>
      </w:r>
      <w:r>
        <w:rPr>
          <w:rFonts w:cs="Arial"/>
          <w:bCs/>
          <w:lang w:val="es-ES_tradnl"/>
        </w:rPr>
        <w:t xml:space="preserve"> </w:t>
      </w:r>
      <w:r>
        <w:rPr>
          <w:rFonts w:cs="Arial"/>
          <w:bCs/>
          <w:lang w:val="es-ES_tradnl"/>
        </w:rPr>
        <w:lastRenderedPageBreak/>
        <w:t xml:space="preserve">dirigir, planificar y prestar el servicio educativo en los </w:t>
      </w:r>
      <w:r w:rsidRPr="00886885">
        <w:rPr>
          <w:rFonts w:cs="Arial"/>
          <w:bCs/>
          <w:lang w:val="es-ES_tradnl"/>
        </w:rPr>
        <w:t>niveles de preescolar, básica, media en sus distintas modalidades, en condiciones de equidad, eficiencia y calidad</w:t>
      </w:r>
      <w:r>
        <w:rPr>
          <w:rFonts w:cs="Arial"/>
          <w:bCs/>
          <w:lang w:val="es-ES_tradnl"/>
        </w:rPr>
        <w:t xml:space="preserve">. </w:t>
      </w:r>
    </w:p>
    <w:p w:rsidR="004022EB" w:rsidRDefault="004022EB" w:rsidP="0050417E">
      <w:pPr>
        <w:tabs>
          <w:tab w:val="left" w:pos="-720"/>
        </w:tabs>
        <w:jc w:val="both"/>
        <w:rPr>
          <w:rFonts w:cs="Arial"/>
          <w:bCs/>
          <w:lang w:val="es-ES_tradnl"/>
        </w:rPr>
      </w:pPr>
    </w:p>
    <w:p w:rsidR="004022EB" w:rsidRDefault="004022EB" w:rsidP="0050417E">
      <w:pPr>
        <w:tabs>
          <w:tab w:val="left" w:pos="-720"/>
        </w:tabs>
        <w:jc w:val="both"/>
        <w:rPr>
          <w:rFonts w:cs="Arial"/>
          <w:bCs/>
          <w:lang w:val="es-ES_tradnl"/>
        </w:rPr>
      </w:pPr>
      <w:r>
        <w:rPr>
          <w:rFonts w:cs="Arial"/>
          <w:bCs/>
          <w:lang w:val="es-ES_tradnl"/>
        </w:rPr>
        <w:t xml:space="preserve">Que el Gobierno nacional profirió el Decreto 1075 de 2015, Único Reglamentario del Sector Educación, con el objetivo de compilar y racionalizar las normas de carácter reglamentario del sector y contar con un instrumento jurídico único para el mismo. </w:t>
      </w:r>
    </w:p>
    <w:p w:rsidR="004022EB" w:rsidRDefault="004022EB" w:rsidP="0050417E">
      <w:pPr>
        <w:tabs>
          <w:tab w:val="left" w:pos="-720"/>
        </w:tabs>
        <w:jc w:val="both"/>
        <w:rPr>
          <w:rFonts w:cs="Arial"/>
          <w:bCs/>
          <w:lang w:val="es-ES_tradnl"/>
        </w:rPr>
      </w:pPr>
    </w:p>
    <w:p w:rsidR="004022EB" w:rsidRDefault="004022EB" w:rsidP="0050417E">
      <w:pPr>
        <w:tabs>
          <w:tab w:val="left" w:pos="-720"/>
        </w:tabs>
        <w:jc w:val="both"/>
        <w:rPr>
          <w:rFonts w:cs="Arial"/>
          <w:bCs/>
          <w:lang w:val="es-ES_tradnl"/>
        </w:rPr>
      </w:pPr>
      <w:r w:rsidRPr="004022EB">
        <w:rPr>
          <w:rFonts w:cs="Arial"/>
          <w:bCs/>
          <w:lang w:val="es-ES_tradnl"/>
        </w:rPr>
        <w:t>Que la presente norma se expide con fundamento en la potestad reglamentaria del Presidente de la República, motivo por el cual debe quedar compilada en el Decreto 1075 de 2015 en los términos que a continuación se establecen</w:t>
      </w:r>
      <w:r w:rsidR="00127E3B">
        <w:rPr>
          <w:rFonts w:cs="Arial"/>
          <w:bCs/>
          <w:lang w:val="es-ES_tradnl"/>
        </w:rPr>
        <w:t>.</w:t>
      </w:r>
    </w:p>
    <w:p w:rsidR="0050417E" w:rsidRDefault="0050417E" w:rsidP="0050417E">
      <w:pPr>
        <w:tabs>
          <w:tab w:val="left" w:pos="-720"/>
        </w:tabs>
        <w:jc w:val="both"/>
        <w:rPr>
          <w:rFonts w:cs="Arial"/>
          <w:bCs/>
          <w:lang w:val="es-ES_tradnl"/>
        </w:rPr>
      </w:pPr>
    </w:p>
    <w:p w:rsidR="009A5141" w:rsidRPr="009A5141" w:rsidRDefault="00BD2C9F" w:rsidP="009A5141">
      <w:pPr>
        <w:tabs>
          <w:tab w:val="left" w:pos="-720"/>
        </w:tabs>
        <w:jc w:val="both"/>
        <w:rPr>
          <w:rFonts w:cs="Arial"/>
          <w:bCs/>
        </w:rPr>
      </w:pPr>
      <w:r w:rsidRPr="009A5141">
        <w:rPr>
          <w:rFonts w:cs="Arial"/>
          <w:bCs/>
        </w:rPr>
        <w:t>Que,</w:t>
      </w:r>
      <w:r w:rsidR="009A5141" w:rsidRPr="009A5141">
        <w:rPr>
          <w:rFonts w:cs="Arial"/>
          <w:bCs/>
        </w:rPr>
        <w:t xml:space="preserve"> en mérito de lo expuesto,</w:t>
      </w:r>
    </w:p>
    <w:p w:rsidR="009A5141" w:rsidRPr="009A5141" w:rsidRDefault="009A5141" w:rsidP="009A5141">
      <w:pPr>
        <w:tabs>
          <w:tab w:val="left" w:pos="-720"/>
        </w:tabs>
        <w:jc w:val="both"/>
        <w:rPr>
          <w:rFonts w:cs="Arial"/>
          <w:b/>
          <w:bCs/>
        </w:rPr>
      </w:pPr>
    </w:p>
    <w:p w:rsidR="009A5141" w:rsidRPr="009A5141" w:rsidRDefault="009A5141" w:rsidP="009A5141">
      <w:pPr>
        <w:tabs>
          <w:tab w:val="left" w:pos="-720"/>
        </w:tabs>
        <w:jc w:val="center"/>
        <w:rPr>
          <w:rFonts w:cs="Arial"/>
          <w:b/>
          <w:bCs/>
        </w:rPr>
      </w:pPr>
      <w:r w:rsidRPr="009A5141">
        <w:rPr>
          <w:rFonts w:cs="Arial"/>
          <w:b/>
          <w:bCs/>
        </w:rPr>
        <w:t>DECRETA</w:t>
      </w:r>
    </w:p>
    <w:p w:rsidR="009A5141" w:rsidRPr="009A5141" w:rsidRDefault="009A5141" w:rsidP="009A5141">
      <w:pPr>
        <w:tabs>
          <w:tab w:val="left" w:pos="-720"/>
        </w:tabs>
        <w:jc w:val="both"/>
        <w:rPr>
          <w:rFonts w:cs="Arial"/>
          <w:bCs/>
        </w:rPr>
      </w:pPr>
    </w:p>
    <w:p w:rsidR="009A5141" w:rsidRPr="009A5141" w:rsidRDefault="009A5141" w:rsidP="009A5141">
      <w:pPr>
        <w:tabs>
          <w:tab w:val="left" w:pos="-720"/>
        </w:tabs>
        <w:jc w:val="both"/>
        <w:rPr>
          <w:rFonts w:cs="Arial"/>
          <w:bCs/>
          <w:lang w:val="es-CO"/>
        </w:rPr>
      </w:pPr>
      <w:r w:rsidRPr="009A5141">
        <w:rPr>
          <w:rFonts w:cs="Arial"/>
          <w:b/>
          <w:bCs/>
          <w:lang w:val="es-CO"/>
        </w:rPr>
        <w:t xml:space="preserve">Artículo 1. </w:t>
      </w:r>
      <w:r w:rsidR="001C4B81">
        <w:rPr>
          <w:rFonts w:cs="Arial"/>
          <w:b/>
          <w:bCs/>
          <w:i/>
          <w:lang w:val="es-CO"/>
        </w:rPr>
        <w:t xml:space="preserve">Adición de un parágrafo transitorio al artículo </w:t>
      </w:r>
      <w:r w:rsidR="001C4B81" w:rsidRPr="001C4B81">
        <w:rPr>
          <w:rFonts w:cs="Arial"/>
          <w:b/>
          <w:bCs/>
          <w:i/>
        </w:rPr>
        <w:t>2.3.3.1.11.</w:t>
      </w:r>
      <w:r w:rsidR="00D504DD">
        <w:rPr>
          <w:rFonts w:cs="Arial"/>
          <w:b/>
          <w:bCs/>
          <w:i/>
        </w:rPr>
        <w:t>1</w:t>
      </w:r>
      <w:r w:rsidR="001C4B81" w:rsidRPr="001C4B81">
        <w:rPr>
          <w:rFonts w:cs="Arial"/>
          <w:b/>
          <w:bCs/>
          <w:i/>
        </w:rPr>
        <w:t>. del Decreto 1075 de 2015</w:t>
      </w:r>
      <w:r w:rsidRPr="009A5141">
        <w:rPr>
          <w:rFonts w:cs="Arial"/>
          <w:bCs/>
          <w:i/>
          <w:lang w:val="es-CO"/>
        </w:rPr>
        <w:t xml:space="preserve">. </w:t>
      </w:r>
      <w:r w:rsidR="001C4B81">
        <w:rPr>
          <w:rFonts w:cs="Arial"/>
          <w:bCs/>
          <w:lang w:val="es-CO"/>
        </w:rPr>
        <w:t xml:space="preserve">Adiciónese un parágrafo transitorio al artículo </w:t>
      </w:r>
      <w:r w:rsidR="001C4B81" w:rsidRPr="001C4B81">
        <w:rPr>
          <w:rFonts w:cs="Arial"/>
          <w:bCs/>
        </w:rPr>
        <w:t>2.3.3.1.11.</w:t>
      </w:r>
      <w:r w:rsidR="00D504DD">
        <w:rPr>
          <w:rFonts w:cs="Arial"/>
          <w:bCs/>
        </w:rPr>
        <w:t>1</w:t>
      </w:r>
      <w:r w:rsidR="001C4B81" w:rsidRPr="001C4B81">
        <w:rPr>
          <w:rFonts w:cs="Arial"/>
          <w:bCs/>
        </w:rPr>
        <w:t>. del Decreto 1075 de 2015</w:t>
      </w:r>
      <w:r w:rsidR="001C4B81">
        <w:rPr>
          <w:rFonts w:cs="Arial"/>
          <w:bCs/>
          <w:lang w:val="es-CO"/>
        </w:rPr>
        <w:t>, el cual quedará</w:t>
      </w:r>
      <w:r w:rsidRPr="009A5141">
        <w:rPr>
          <w:rFonts w:cs="Arial"/>
          <w:bCs/>
          <w:lang w:val="es-CO"/>
        </w:rPr>
        <w:t xml:space="preserve"> así:</w:t>
      </w:r>
    </w:p>
    <w:p w:rsidR="009A5141" w:rsidRPr="009A5141" w:rsidRDefault="009A5141" w:rsidP="009A5141">
      <w:pPr>
        <w:tabs>
          <w:tab w:val="left" w:pos="-720"/>
        </w:tabs>
        <w:jc w:val="both"/>
        <w:rPr>
          <w:rFonts w:cs="Arial"/>
          <w:bCs/>
          <w:lang w:val="es-CO"/>
        </w:rPr>
      </w:pPr>
    </w:p>
    <w:p w:rsidR="009A5141" w:rsidRDefault="009A5141" w:rsidP="001C4B81">
      <w:pPr>
        <w:tabs>
          <w:tab w:val="left" w:pos="-720"/>
        </w:tabs>
        <w:jc w:val="both"/>
        <w:rPr>
          <w:rFonts w:cs="Arial"/>
          <w:bCs/>
        </w:rPr>
      </w:pPr>
      <w:r w:rsidRPr="009A5141">
        <w:rPr>
          <w:rFonts w:cs="Arial"/>
          <w:bCs/>
        </w:rPr>
        <w:t>&lt;&lt;</w:t>
      </w:r>
      <w:bookmarkStart w:id="1" w:name="2.4.1.4.5.11"/>
      <w:r w:rsidR="001C4B81">
        <w:rPr>
          <w:rFonts w:cs="Arial"/>
          <w:b/>
          <w:bCs/>
          <w:lang w:val="es-CO"/>
        </w:rPr>
        <w:t>Parágrafo transitorio</w:t>
      </w:r>
      <w:r w:rsidRPr="009A5141">
        <w:rPr>
          <w:rFonts w:cs="Arial"/>
          <w:b/>
          <w:bCs/>
          <w:lang w:val="es-CO"/>
        </w:rPr>
        <w:t>.</w:t>
      </w:r>
      <w:bookmarkEnd w:id="1"/>
      <w:r w:rsidRPr="009A5141">
        <w:rPr>
          <w:rFonts w:cs="Arial"/>
          <w:bCs/>
        </w:rPr>
        <w:t xml:space="preserve"> </w:t>
      </w:r>
      <w:r w:rsidR="00A86164">
        <w:rPr>
          <w:rFonts w:cs="Arial"/>
          <w:bCs/>
        </w:rPr>
        <w:t xml:space="preserve">En el año 2017, </w:t>
      </w:r>
      <w:r w:rsidR="00D504DD">
        <w:rPr>
          <w:rFonts w:cs="Arial"/>
          <w:bCs/>
        </w:rPr>
        <w:t xml:space="preserve">como medida transitoria para </w:t>
      </w:r>
      <w:r w:rsidR="00A86164">
        <w:rPr>
          <w:rFonts w:cs="Arial"/>
          <w:bCs/>
        </w:rPr>
        <w:t xml:space="preserve">proteger el derecho a la educación de los niños y niñas, las entidades territoriales certificadas en educación podrán disponer de la semana dispuesta en el </w:t>
      </w:r>
      <w:r w:rsidR="00D504DD">
        <w:rPr>
          <w:rFonts w:cs="Arial"/>
          <w:bCs/>
        </w:rPr>
        <w:t xml:space="preserve">presente </w:t>
      </w:r>
      <w:r w:rsidR="00A86164">
        <w:rPr>
          <w:rFonts w:cs="Arial"/>
          <w:bCs/>
        </w:rPr>
        <w:t>artículo</w:t>
      </w:r>
      <w:r w:rsidR="00D504DD">
        <w:rPr>
          <w:rFonts w:cs="Arial"/>
          <w:bCs/>
        </w:rPr>
        <w:t xml:space="preserve"> para la reposición efectiva de </w:t>
      </w:r>
      <w:r w:rsidR="00127E3B">
        <w:rPr>
          <w:rFonts w:cs="Arial"/>
          <w:bCs/>
        </w:rPr>
        <w:t xml:space="preserve">las </w:t>
      </w:r>
      <w:r w:rsidR="00D504DD">
        <w:rPr>
          <w:rFonts w:cs="Arial"/>
          <w:bCs/>
        </w:rPr>
        <w:t xml:space="preserve">clases sin </w:t>
      </w:r>
      <w:r w:rsidR="0005269A">
        <w:rPr>
          <w:rFonts w:cs="Arial"/>
          <w:bCs/>
        </w:rPr>
        <w:t xml:space="preserve">lugar a </w:t>
      </w:r>
      <w:r w:rsidR="00D504DD">
        <w:rPr>
          <w:rFonts w:cs="Arial"/>
          <w:bCs/>
        </w:rPr>
        <w:t>receso estudiantil</w:t>
      </w:r>
      <w:r w:rsidR="0005269A">
        <w:rPr>
          <w:rFonts w:cs="Arial"/>
          <w:bCs/>
        </w:rPr>
        <w:t>,</w:t>
      </w:r>
      <w:r w:rsidR="00D504DD">
        <w:rPr>
          <w:rFonts w:cs="Arial"/>
          <w:bCs/>
        </w:rPr>
        <w:t xml:space="preserve"> como producto del cese de actividades del magisterio durante la presente vigencia. </w:t>
      </w:r>
    </w:p>
    <w:p w:rsidR="00D504DD" w:rsidRDefault="00D504DD" w:rsidP="001C4B81">
      <w:pPr>
        <w:tabs>
          <w:tab w:val="left" w:pos="-720"/>
        </w:tabs>
        <w:jc w:val="both"/>
        <w:rPr>
          <w:rFonts w:cs="Arial"/>
          <w:bCs/>
        </w:rPr>
      </w:pPr>
    </w:p>
    <w:p w:rsidR="00D504DD" w:rsidRDefault="00D504DD" w:rsidP="001C4B81">
      <w:pPr>
        <w:tabs>
          <w:tab w:val="left" w:pos="-720"/>
        </w:tabs>
        <w:jc w:val="both"/>
        <w:rPr>
          <w:rFonts w:cs="Arial"/>
          <w:bCs/>
        </w:rPr>
      </w:pPr>
      <w:r>
        <w:rPr>
          <w:rFonts w:cs="Arial"/>
          <w:bCs/>
        </w:rPr>
        <w:t xml:space="preserve">Las entidades territoriales certificadas que opten por esta medida deberán adecuar esta semana de desarrollo institucional en sus calendarios académicos, de tal forma que </w:t>
      </w:r>
      <w:r w:rsidR="00127E3B">
        <w:rPr>
          <w:rFonts w:cs="Arial"/>
          <w:bCs/>
        </w:rPr>
        <w:t>se cumpla</w:t>
      </w:r>
      <w:r>
        <w:rPr>
          <w:rFonts w:cs="Arial"/>
          <w:bCs/>
        </w:rPr>
        <w:t xml:space="preserve"> con los términos de las actividades de desarrollo institucional que dispone el </w:t>
      </w:r>
      <w:r w:rsidRPr="00D504DD">
        <w:rPr>
          <w:rFonts w:cs="Arial"/>
          <w:bCs/>
        </w:rPr>
        <w:t>artículo 2.4.3.2.4. del presente Decreto</w:t>
      </w:r>
      <w:r>
        <w:rPr>
          <w:rFonts w:cs="Arial"/>
          <w:bCs/>
        </w:rPr>
        <w:t xml:space="preserve">. </w:t>
      </w:r>
    </w:p>
    <w:p w:rsidR="00D504DD" w:rsidRDefault="00D504DD" w:rsidP="001C4B81">
      <w:pPr>
        <w:tabs>
          <w:tab w:val="left" w:pos="-720"/>
        </w:tabs>
        <w:jc w:val="both"/>
        <w:rPr>
          <w:rFonts w:cs="Arial"/>
          <w:bCs/>
        </w:rPr>
      </w:pPr>
    </w:p>
    <w:p w:rsidR="00D504DD" w:rsidRPr="009A5141" w:rsidRDefault="00D504DD" w:rsidP="001C4B81">
      <w:pPr>
        <w:tabs>
          <w:tab w:val="left" w:pos="-720"/>
        </w:tabs>
        <w:jc w:val="both"/>
        <w:rPr>
          <w:rFonts w:cs="Arial"/>
          <w:bCs/>
        </w:rPr>
      </w:pPr>
      <w:r>
        <w:rPr>
          <w:rFonts w:cs="Arial"/>
          <w:bCs/>
        </w:rPr>
        <w:t xml:space="preserve">En cualquier caso, </w:t>
      </w:r>
      <w:r w:rsidR="005256EE">
        <w:rPr>
          <w:rFonts w:cs="Arial"/>
          <w:bCs/>
        </w:rPr>
        <w:t xml:space="preserve">el calendario académico del año 2017 no podrá desconocer ninguna de las actividades contempladas en el artículo </w:t>
      </w:r>
      <w:r w:rsidR="005256EE" w:rsidRPr="005256EE">
        <w:rPr>
          <w:rFonts w:cs="Arial"/>
          <w:bCs/>
        </w:rPr>
        <w:t>2.4.3.4.1.</w:t>
      </w:r>
      <w:r w:rsidR="005256EE">
        <w:rPr>
          <w:rFonts w:cs="Arial"/>
          <w:bCs/>
        </w:rPr>
        <w:t xml:space="preserve"> de este Decreto.</w:t>
      </w:r>
      <w:r w:rsidR="005256EE" w:rsidRPr="005256EE">
        <w:rPr>
          <w:rFonts w:cs="Arial"/>
          <w:bCs/>
          <w:lang w:val="es-ES_tradnl"/>
        </w:rPr>
        <w:t>&gt;&gt;</w:t>
      </w:r>
    </w:p>
    <w:p w:rsidR="00BF3EB2" w:rsidRPr="009A5141" w:rsidRDefault="00BF3EB2" w:rsidP="009A5141">
      <w:pPr>
        <w:tabs>
          <w:tab w:val="left" w:pos="-720"/>
        </w:tabs>
        <w:jc w:val="both"/>
        <w:rPr>
          <w:rFonts w:cs="Arial"/>
          <w:bCs/>
        </w:rPr>
      </w:pPr>
    </w:p>
    <w:p w:rsidR="009A5141" w:rsidRPr="009A5141" w:rsidRDefault="009A5141" w:rsidP="009A5141">
      <w:pPr>
        <w:tabs>
          <w:tab w:val="left" w:pos="-720"/>
        </w:tabs>
        <w:jc w:val="both"/>
        <w:rPr>
          <w:rFonts w:cs="Arial"/>
          <w:bCs/>
        </w:rPr>
      </w:pPr>
      <w:r w:rsidRPr="009A5141">
        <w:rPr>
          <w:rFonts w:cs="Arial"/>
          <w:b/>
          <w:bCs/>
        </w:rPr>
        <w:t xml:space="preserve">Artículo 2. </w:t>
      </w:r>
      <w:r w:rsidRPr="009A5141">
        <w:rPr>
          <w:rFonts w:cs="Arial"/>
          <w:b/>
          <w:bCs/>
          <w:i/>
        </w:rPr>
        <w:t>Vigencia</w:t>
      </w:r>
      <w:r w:rsidRPr="009A5141">
        <w:rPr>
          <w:rFonts w:cs="Arial"/>
          <w:b/>
          <w:bCs/>
        </w:rPr>
        <w:t>.</w:t>
      </w:r>
      <w:r w:rsidRPr="009A5141">
        <w:rPr>
          <w:rFonts w:cs="Arial"/>
          <w:bCs/>
        </w:rPr>
        <w:t xml:space="preserve"> El presente Decreto rige a partir de su publicación. </w:t>
      </w:r>
    </w:p>
    <w:p w:rsidR="009A5141" w:rsidRDefault="009A5141" w:rsidP="009A5141">
      <w:pPr>
        <w:tabs>
          <w:tab w:val="left" w:pos="-720"/>
        </w:tabs>
        <w:jc w:val="both"/>
        <w:rPr>
          <w:rFonts w:cs="Arial"/>
          <w:b/>
          <w:bCs/>
        </w:rPr>
      </w:pPr>
    </w:p>
    <w:p w:rsidR="009A5141" w:rsidRPr="009A5141" w:rsidRDefault="009A5141" w:rsidP="009A5141">
      <w:pPr>
        <w:tabs>
          <w:tab w:val="left" w:pos="-720"/>
        </w:tabs>
        <w:jc w:val="center"/>
        <w:rPr>
          <w:rFonts w:cs="Arial"/>
          <w:b/>
          <w:bCs/>
        </w:rPr>
      </w:pPr>
      <w:r w:rsidRPr="009A5141">
        <w:rPr>
          <w:rFonts w:cs="Arial"/>
          <w:b/>
          <w:bCs/>
        </w:rPr>
        <w:t>PUBLÍQUESE Y CÚMPLASE.</w:t>
      </w:r>
    </w:p>
    <w:p w:rsidR="009A5141" w:rsidRPr="009A5141" w:rsidRDefault="009A5141" w:rsidP="009A5141">
      <w:pPr>
        <w:tabs>
          <w:tab w:val="left" w:pos="-720"/>
        </w:tabs>
        <w:jc w:val="both"/>
        <w:rPr>
          <w:rFonts w:cs="Arial"/>
          <w:bCs/>
        </w:rPr>
      </w:pPr>
    </w:p>
    <w:p w:rsidR="009A5141" w:rsidRPr="007F3B7C" w:rsidRDefault="009A5141" w:rsidP="009A5141">
      <w:pPr>
        <w:tabs>
          <w:tab w:val="left" w:pos="-720"/>
        </w:tabs>
        <w:rPr>
          <w:rFonts w:cs="Arial"/>
          <w:bCs/>
          <w:lang w:val="es-CO"/>
        </w:rPr>
      </w:pPr>
      <w:r w:rsidRPr="007F3B7C">
        <w:rPr>
          <w:rFonts w:cs="Arial"/>
          <w:bCs/>
          <w:lang w:val="es-CO"/>
        </w:rPr>
        <w:t>Dado en Bogotá, D.C., a los</w:t>
      </w:r>
    </w:p>
    <w:p w:rsidR="009A5141" w:rsidRPr="009A5141" w:rsidRDefault="009A5141" w:rsidP="009A5141">
      <w:pPr>
        <w:tabs>
          <w:tab w:val="left" w:pos="-720"/>
        </w:tabs>
        <w:jc w:val="both"/>
        <w:rPr>
          <w:rFonts w:cs="Arial"/>
          <w:bCs/>
          <w:lang w:val="es-CO"/>
        </w:rPr>
      </w:pPr>
    </w:p>
    <w:p w:rsidR="009A5141" w:rsidRPr="009A5141" w:rsidRDefault="009A5141" w:rsidP="009A5141">
      <w:pPr>
        <w:tabs>
          <w:tab w:val="left" w:pos="-720"/>
        </w:tabs>
        <w:jc w:val="both"/>
        <w:rPr>
          <w:rFonts w:cs="Arial"/>
          <w:bCs/>
        </w:rPr>
      </w:pPr>
    </w:p>
    <w:p w:rsidR="009A5141" w:rsidRPr="009A5141" w:rsidRDefault="009A5141" w:rsidP="009A5141">
      <w:pPr>
        <w:tabs>
          <w:tab w:val="left" w:pos="-720"/>
        </w:tabs>
        <w:jc w:val="both"/>
        <w:rPr>
          <w:rFonts w:cs="Arial"/>
          <w:bCs/>
        </w:rPr>
      </w:pPr>
    </w:p>
    <w:p w:rsidR="009A5141" w:rsidRPr="009A5141" w:rsidRDefault="009A5141" w:rsidP="009A5141">
      <w:pPr>
        <w:tabs>
          <w:tab w:val="left" w:pos="-720"/>
        </w:tabs>
        <w:jc w:val="both"/>
        <w:rPr>
          <w:rFonts w:cs="Arial"/>
          <w:b/>
          <w:bCs/>
        </w:rPr>
      </w:pPr>
      <w:r w:rsidRPr="009A5141">
        <w:rPr>
          <w:rFonts w:cs="Arial"/>
          <w:b/>
          <w:bCs/>
        </w:rPr>
        <w:t>LA MINISTRA DE EDUCACIÓN NACIONAL,</w:t>
      </w:r>
    </w:p>
    <w:p w:rsidR="009A5141" w:rsidRPr="009A5141" w:rsidRDefault="009A5141" w:rsidP="009A5141">
      <w:pPr>
        <w:tabs>
          <w:tab w:val="left" w:pos="-720"/>
        </w:tabs>
        <w:jc w:val="both"/>
        <w:rPr>
          <w:rFonts w:cs="Arial"/>
          <w:b/>
          <w:bCs/>
        </w:rPr>
      </w:pPr>
    </w:p>
    <w:p w:rsidR="009A5141" w:rsidRPr="009A5141" w:rsidRDefault="009A5141" w:rsidP="009A5141">
      <w:pPr>
        <w:tabs>
          <w:tab w:val="left" w:pos="-720"/>
        </w:tabs>
        <w:jc w:val="both"/>
        <w:rPr>
          <w:rFonts w:cs="Arial"/>
          <w:b/>
          <w:bCs/>
        </w:rPr>
      </w:pPr>
    </w:p>
    <w:p w:rsidR="009A5141" w:rsidRPr="009A5141" w:rsidRDefault="009A5141" w:rsidP="009A5141">
      <w:pPr>
        <w:tabs>
          <w:tab w:val="left" w:pos="-720"/>
        </w:tabs>
        <w:jc w:val="both"/>
        <w:rPr>
          <w:rFonts w:cs="Arial"/>
          <w:b/>
          <w:bCs/>
        </w:rPr>
      </w:pPr>
    </w:p>
    <w:p w:rsidR="009A5141" w:rsidRPr="009A5141" w:rsidRDefault="009A5141" w:rsidP="009A5141">
      <w:pPr>
        <w:tabs>
          <w:tab w:val="left" w:pos="-720"/>
        </w:tabs>
        <w:jc w:val="both"/>
        <w:rPr>
          <w:rFonts w:cs="Arial"/>
          <w:b/>
          <w:bCs/>
        </w:rPr>
      </w:pPr>
    </w:p>
    <w:p w:rsidR="009A5141" w:rsidRPr="009A5141" w:rsidRDefault="009A5141" w:rsidP="009A5141">
      <w:pPr>
        <w:tabs>
          <w:tab w:val="left" w:pos="-720"/>
        </w:tabs>
        <w:jc w:val="both"/>
        <w:rPr>
          <w:rFonts w:cs="Arial"/>
          <w:b/>
          <w:bCs/>
        </w:rPr>
      </w:pPr>
    </w:p>
    <w:p w:rsidR="009A5141" w:rsidRPr="009A5141" w:rsidRDefault="009A5141" w:rsidP="009A5141">
      <w:pPr>
        <w:tabs>
          <w:tab w:val="left" w:pos="-720"/>
        </w:tabs>
        <w:jc w:val="both"/>
        <w:rPr>
          <w:rFonts w:cs="Arial"/>
          <w:b/>
          <w:bCs/>
        </w:rPr>
      </w:pPr>
    </w:p>
    <w:p w:rsidR="009A5141" w:rsidRPr="009A5141" w:rsidRDefault="009A5141" w:rsidP="009A5141">
      <w:pPr>
        <w:tabs>
          <w:tab w:val="left" w:pos="-720"/>
        </w:tabs>
        <w:jc w:val="both"/>
        <w:rPr>
          <w:rFonts w:cs="Arial"/>
          <w:b/>
          <w:bCs/>
        </w:rPr>
      </w:pPr>
    </w:p>
    <w:p w:rsidR="009A5141" w:rsidRPr="009A5141" w:rsidRDefault="001C4B81" w:rsidP="009A5141">
      <w:pPr>
        <w:tabs>
          <w:tab w:val="left" w:pos="-720"/>
        </w:tabs>
        <w:jc w:val="right"/>
        <w:rPr>
          <w:rFonts w:cs="Arial"/>
          <w:b/>
          <w:bCs/>
        </w:rPr>
      </w:pPr>
      <w:r>
        <w:rPr>
          <w:rFonts w:cs="Arial"/>
          <w:b/>
          <w:bCs/>
        </w:rPr>
        <w:t>YANETH GIHA TOVAR</w:t>
      </w:r>
    </w:p>
    <w:p w:rsidR="009A5141" w:rsidRPr="009A5141" w:rsidRDefault="009A5141" w:rsidP="009A5141">
      <w:pPr>
        <w:tabs>
          <w:tab w:val="left" w:pos="-720"/>
        </w:tabs>
        <w:jc w:val="both"/>
        <w:rPr>
          <w:rFonts w:cs="Arial"/>
          <w:bCs/>
        </w:rPr>
      </w:pPr>
    </w:p>
    <w:p w:rsidR="009A5141" w:rsidRPr="009A5141" w:rsidRDefault="009A5141" w:rsidP="006E10AA">
      <w:pPr>
        <w:tabs>
          <w:tab w:val="left" w:pos="-720"/>
        </w:tabs>
        <w:jc w:val="both"/>
        <w:rPr>
          <w:rFonts w:cs="Arial"/>
          <w:bCs/>
        </w:rPr>
      </w:pPr>
    </w:p>
    <w:sectPr w:rsidR="009A5141" w:rsidRPr="009A5141" w:rsidSect="00BF3EB2">
      <w:headerReference w:type="default" r:id="rId8"/>
      <w:headerReference w:type="first" r:id="rId9"/>
      <w:pgSz w:w="12242" w:h="20163" w:code="5"/>
      <w:pgMar w:top="1814" w:right="1644" w:bottom="1814" w:left="1644"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F0" w:rsidRDefault="00342EF0">
      <w:r>
        <w:separator/>
      </w:r>
    </w:p>
  </w:endnote>
  <w:endnote w:type="continuationSeparator" w:id="0">
    <w:p w:rsidR="00342EF0" w:rsidRDefault="0034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staire">
    <w:altName w:val="Cambri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F0" w:rsidRDefault="00342EF0">
      <w:r>
        <w:rPr>
          <w:color w:val="000000"/>
        </w:rPr>
        <w:separator/>
      </w:r>
    </w:p>
  </w:footnote>
  <w:footnote w:type="continuationSeparator" w:id="0">
    <w:p w:rsidR="00342EF0" w:rsidRDefault="0034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9B" w:rsidRDefault="0073549B">
    <w:pPr>
      <w:pStyle w:val="Encabezado"/>
      <w:jc w:val="center"/>
    </w:pPr>
    <w:r>
      <w:rPr>
        <w:b/>
        <w:lang w:val="pt-BR"/>
      </w:rPr>
      <w:t xml:space="preserve">DECRETO NÚMERO                                          </w:t>
    </w:r>
    <w:proofErr w:type="spellStart"/>
    <w:r>
      <w:rPr>
        <w:b/>
        <w:lang w:val="pt-BR"/>
      </w:rPr>
      <w:t>Hoja</w:t>
    </w:r>
    <w:proofErr w:type="spellEnd"/>
    <w:r>
      <w:rPr>
        <w:b/>
        <w:lang w:val="pt-BR"/>
      </w:rPr>
      <w:t xml:space="preserve"> N°. </w:t>
    </w:r>
    <w:r>
      <w:rPr>
        <w:rStyle w:val="Nmerodepgina"/>
        <w:b/>
        <w:lang w:val="pt-BR"/>
      </w:rPr>
      <w:fldChar w:fldCharType="begin"/>
    </w:r>
    <w:r>
      <w:rPr>
        <w:rStyle w:val="Nmerodepgina"/>
        <w:b/>
        <w:lang w:val="pt-BR"/>
      </w:rPr>
      <w:instrText xml:space="preserve"> PAGE </w:instrText>
    </w:r>
    <w:r>
      <w:rPr>
        <w:rStyle w:val="Nmerodepgina"/>
        <w:b/>
        <w:lang w:val="pt-BR"/>
      </w:rPr>
      <w:fldChar w:fldCharType="separate"/>
    </w:r>
    <w:r w:rsidR="0023099D">
      <w:rPr>
        <w:rStyle w:val="Nmerodepgina"/>
        <w:b/>
        <w:noProof/>
        <w:lang w:val="pt-BR"/>
      </w:rPr>
      <w:t>3</w:t>
    </w:r>
    <w:r>
      <w:rPr>
        <w:rStyle w:val="Nmerodepgina"/>
        <w:b/>
        <w:lang w:val="pt-BR"/>
      </w:rPr>
      <w:fldChar w:fldCharType="end"/>
    </w:r>
  </w:p>
  <w:p w:rsidR="0073549B" w:rsidRDefault="0073549B">
    <w:pPr>
      <w:pStyle w:val="Encabezado"/>
      <w:jc w:val="center"/>
      <w:rPr>
        <w:b/>
      </w:rPr>
    </w:pPr>
  </w:p>
  <w:p w:rsidR="0073549B" w:rsidRPr="00C6755A" w:rsidRDefault="0073549B">
    <w:pPr>
      <w:jc w:val="center"/>
    </w:pPr>
    <w:r>
      <w:rPr>
        <w:noProof/>
        <w:lang w:val="es-CO" w:eastAsia="es-CO"/>
      </w:rPr>
      <mc:AlternateContent>
        <mc:Choice Requires="wps">
          <w:drawing>
            <wp:anchor distT="0" distB="0" distL="114300" distR="114300" simplePos="0" relativeHeight="251659264" behindDoc="0" locked="0" layoutInCell="1" allowOverlap="1" wp14:anchorId="107BD8D1" wp14:editId="7A398318">
              <wp:simplePos x="0" y="0"/>
              <wp:positionH relativeFrom="page">
                <wp:posOffset>501018</wp:posOffset>
              </wp:positionH>
              <wp:positionV relativeFrom="page">
                <wp:posOffset>765810</wp:posOffset>
              </wp:positionV>
              <wp:extent cx="6813551" cy="11163937"/>
              <wp:effectExtent l="19050" t="19050" r="25399" b="18413"/>
              <wp:wrapNone/>
              <wp:docPr id="1" name="Rectángulo 2"/>
              <wp:cNvGraphicFramePr/>
              <a:graphic xmlns:a="http://schemas.openxmlformats.org/drawingml/2006/main">
                <a:graphicData uri="http://schemas.microsoft.com/office/word/2010/wordprocessingShape">
                  <wps:wsp>
                    <wps:cNvSpPr/>
                    <wps:spPr>
                      <a:xfrm>
                        <a:off x="0" y="0"/>
                        <a:ext cx="6813551" cy="11163937"/>
                      </a:xfrm>
                      <a:prstGeom prst="rect">
                        <a:avLst/>
                      </a:prstGeom>
                      <a:noFill/>
                      <a:ln w="38103">
                        <a:solidFill>
                          <a:srgbClr val="000000"/>
                        </a:solidFill>
                        <a:prstDash val="solid"/>
                        <a:miter/>
                      </a:ln>
                    </wps:spPr>
                    <wps:bodyPr lIns="0" tIns="0" rIns="0" bIns="0"/>
                  </wps:wsp>
                </a:graphicData>
              </a:graphic>
            </wp:anchor>
          </w:drawing>
        </mc:Choice>
        <mc:Fallback xmlns:w16se="http://schemas.microsoft.com/office/word/2015/wordml/symex" xmlns:cx="http://schemas.microsoft.com/office/drawing/2014/chartex">
          <w:pict>
            <v:rect w14:anchorId="1C8DD78D" id="Rectángulo 2" o:spid="_x0000_s1026" style="position:absolute;margin-left:39.45pt;margin-top:60.3pt;width:536.5pt;height:879.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9VuwEAAF0DAAAOAAAAZHJzL2Uyb0RvYy54bWysU0tu2zAQ3RfoHQjua0kW4rqC5SxqpChQ&#10;tEGTHoCmKIkAfxgyln2cnqUX6wwtO/3sgmhBDjmPj/PeUJvbozXsoCBq71peLUrOlJO+025o+Y/H&#10;u3drzmISrhPGO9Xyk4r8dvv2zWYKjVr60ZtOAUMSF5sptHxMKTRFEeWorIgLH5TDZO/BioRLGIoO&#10;xITs1hTLslwVk4cugJcqRtzdnZN8m/n7Xsn0re+jSsy0HGtLeYQ87mksthvRDCDCqOVchnhBFVZo&#10;h5deqXYiCfYE+j8qqyX46Pu0kN4Wvu+1VFkDqqnKf9Q8jCKorAXNieFqU3w9Wvn1cA9Md9g7zpyw&#10;2KLvaNqvn254Mp4tyaApxAZxD+Ee5lXEkNQee7A0ow52zKaerqaqY2ISN1frqr65QXaJuaqqVvWH&#10;+j3RFs/nA8T0SXnLKGg5YAXZTXH4EtMZeoHQdc7faWNwXzTGsanl9boq63wieqM7ylIywrD/aIAd&#10;BHU/f/PFf8GIeifieMblFMFEY3VSJBkrNQ4nMuIsnaK9707onfnssB/0ti4BXIL9HBAFncAeZrL5&#10;vdEj+XOdUc9/xfY3AAAA//8DAFBLAwQUAAYACAAAACEA3moDxN8AAAAMAQAADwAAAGRycy9kb3du&#10;cmV2LnhtbEyPzU7DMBCE70i8g7VIXBB1UqlNCHEqQOKIEKUgjm68xBHxOsTOD2/P9gS33ZnR7Lfl&#10;bnGdmHAIrScF6SoBgVR701Kj4PD6eJ2DCFGT0Z0nVPCDAXbV+VmpC+NnesFpHxvBJRQKrcDG2BdS&#10;htqi02HleyT2Pv3gdOR1aKQZ9MzlrpPrJNlKp1viC1b3+GCx/tqPToE/vM3Pkx4kXn3j+5P5GO/t&#10;BpW6vFjubkFEXOJfGE74jA4VMx39SCaITkGW33CS9XWyBXEKpJuUpSNPeZZnIKtS/n+i+gUAAP//&#10;AwBQSwECLQAUAAYACAAAACEAtoM4kv4AAADhAQAAEwAAAAAAAAAAAAAAAAAAAAAAW0NvbnRlbnRf&#10;VHlwZXNdLnhtbFBLAQItABQABgAIAAAAIQA4/SH/1gAAAJQBAAALAAAAAAAAAAAAAAAAAC8BAABf&#10;cmVscy8ucmVsc1BLAQItABQABgAIAAAAIQCtOe9VuwEAAF0DAAAOAAAAAAAAAAAAAAAAAC4CAABk&#10;cnMvZTJvRG9jLnhtbFBLAQItABQABgAIAAAAIQDeagPE3wAAAAwBAAAPAAAAAAAAAAAAAAAAABUE&#10;AABkcnMvZG93bnJldi54bWxQSwUGAAAAAAQABADzAAAAIQUAAAAA&#10;" filled="f" strokeweight="1.0584mm">
              <v:textbox inset="0,0,0,0"/>
              <w10:wrap anchorx="page" anchory="page"/>
            </v:rect>
          </w:pict>
        </mc:Fallback>
      </mc:AlternateContent>
    </w:r>
  </w:p>
  <w:p w:rsidR="00BF3EB2" w:rsidRPr="006C151D" w:rsidRDefault="00944B50">
    <w:pPr>
      <w:autoSpaceDE w:val="0"/>
      <w:jc w:val="both"/>
      <w:rPr>
        <w:rFonts w:cs="Arial"/>
        <w:i/>
        <w:sz w:val="20"/>
        <w:szCs w:val="20"/>
      </w:rPr>
    </w:pPr>
    <w:r>
      <w:rPr>
        <w:rFonts w:cs="Arial"/>
        <w:i/>
        <w:sz w:val="20"/>
        <w:szCs w:val="20"/>
      </w:rPr>
      <w:t>Continuación del Decreto: &lt;</w:t>
    </w:r>
    <w:r w:rsidR="003667EB" w:rsidRPr="003667EB">
      <w:rPr>
        <w:rFonts w:cs="Arial"/>
        <w:i/>
        <w:sz w:val="20"/>
        <w:szCs w:val="20"/>
      </w:rPr>
      <w:t>&lt;Por el cual se adiciona un parágrafo transitorio al artículo 2.3.3.1.11.1. del Decreto 1075 de 2015&gt;&gt;</w:t>
    </w:r>
  </w:p>
  <w:p w:rsidR="0073549B" w:rsidRPr="006C151D" w:rsidRDefault="0073549B">
    <w:pPr>
      <w:autoSpaceDE w:val="0"/>
      <w:jc w:val="both"/>
    </w:pPr>
    <w:r w:rsidRPr="006C151D">
      <w:t>-----------------------------------------------------------------------------------</w:t>
    </w:r>
    <w:r w:rsidR="00BF3EB2">
      <w:t>-----------------------------</w:t>
    </w:r>
  </w:p>
  <w:p w:rsidR="0073549B" w:rsidRDefault="0073549B">
    <w:pPr>
      <w:autoSpaceDE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9B" w:rsidRDefault="0073549B">
    <w:pPr>
      <w:pStyle w:val="Encabezado"/>
      <w:tabs>
        <w:tab w:val="clear" w:pos="4320"/>
        <w:tab w:val="clear" w:pos="8640"/>
        <w:tab w:val="left" w:pos="9000"/>
        <w:tab w:val="right" w:leader="underscore" w:pos="10530"/>
      </w:tabs>
    </w:pPr>
    <w:r>
      <w:rPr>
        <w:rFonts w:ascii="Astaire" w:hAnsi="Astaire"/>
        <w:b/>
        <w:sz w:val="28"/>
      </w:rPr>
      <w:t xml:space="preserve"> </w:t>
    </w:r>
  </w:p>
  <w:p w:rsidR="0073549B" w:rsidRDefault="0073549B">
    <w:pPr>
      <w:pStyle w:val="Encabezado"/>
      <w:jc w:val="right"/>
    </w:pPr>
    <w:r>
      <w:rPr>
        <w:noProof/>
        <w:lang w:val="es-CO" w:eastAsia="es-CO"/>
      </w:rPr>
      <mc:AlternateContent>
        <mc:Choice Requires="wps">
          <w:drawing>
            <wp:anchor distT="0" distB="0" distL="114300" distR="114300" simplePos="0" relativeHeight="251662336" behindDoc="0" locked="0" layoutInCell="1" allowOverlap="1" wp14:anchorId="0B672044" wp14:editId="0E4D7D97">
              <wp:simplePos x="0" y="0"/>
              <wp:positionH relativeFrom="page">
                <wp:posOffset>494662</wp:posOffset>
              </wp:positionH>
              <wp:positionV relativeFrom="page">
                <wp:posOffset>826132</wp:posOffset>
              </wp:positionV>
              <wp:extent cx="6830696" cy="11256648"/>
              <wp:effectExtent l="19050" t="19050" r="27304" b="20952"/>
              <wp:wrapNone/>
              <wp:docPr id="2" name="Rectángulo 1"/>
              <wp:cNvGraphicFramePr/>
              <a:graphic xmlns:a="http://schemas.openxmlformats.org/drawingml/2006/main">
                <a:graphicData uri="http://schemas.microsoft.com/office/word/2010/wordprocessingShape">
                  <wps:wsp>
                    <wps:cNvSpPr/>
                    <wps:spPr>
                      <a:xfrm>
                        <a:off x="0" y="0"/>
                        <a:ext cx="6830696" cy="11256648"/>
                      </a:xfrm>
                      <a:prstGeom prst="rect">
                        <a:avLst/>
                      </a:prstGeom>
                      <a:noFill/>
                      <a:ln w="38103">
                        <a:solidFill>
                          <a:srgbClr val="000000"/>
                        </a:solidFill>
                        <a:prstDash val="solid"/>
                        <a:miter/>
                      </a:ln>
                    </wps:spPr>
                    <wps:bodyPr lIns="0" tIns="0" rIns="0" bIns="0"/>
                  </wps:wsp>
                </a:graphicData>
              </a:graphic>
            </wp:anchor>
          </w:drawing>
        </mc:Choice>
        <mc:Fallback xmlns:w16se="http://schemas.microsoft.com/office/word/2015/wordml/symex" xmlns:cx="http://schemas.microsoft.com/office/drawing/2014/chartex">
          <w:pict>
            <v:rect w14:anchorId="611611EE" id="Rectángulo 1" o:spid="_x0000_s1026" style="position:absolute;margin-left:38.95pt;margin-top:65.05pt;width:537.85pt;height:886.3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stvAEAAF0DAAAOAAAAZHJzL2Uyb0RvYy54bWysU0tu2zAQ3RfoHQjua0l2KriC5SxqJCgQ&#10;tEHTHoCmKIkAfxgyln2cnqUX6wwtO027K6oFOeQ8Ps57Q21uj9awg4KovWt5tSg5U076Truh5d+/&#10;3b1bcxaTcJ0w3qmWn1Tkt9u3bzZTaNTSj950ChiSuNhMoeVjSqEpiihHZUVc+KAcJnsPViRcwlB0&#10;ICZkt6ZYlmVdTB66AF6qGHF3d07ybebveyXTl76PKjHTcqwt5RHyuKex2G5EM4AIo5ZzGeIfqrBC&#10;O7z0SrUTSbBn0H9RWS3BR9+nhfS28H2vpcoaUE1V/qHmaRRBZS1oTgxXm+L/o5WfD4/AdNfyJWdO&#10;WGzRVzTt5w83PBvPKjJoCrFB3FN4hHkVMSS1xx4szaiDHbOpp6up6piYxM16vSrrDzVnEnNVtXxf&#10;1zdroi1ezgeI6V55yyhoOWAF2U1xeIjpDL1A6Drn77QxuC8a49jU8tW6Klf5RPRGd5SlZIRh/9EA&#10;Owjqfv7mi1/BiHon4njG5RTBRGN1UiQZKzUOJzLiLJ2ive9O6J355LAf9LYuAVyC/RwQBZ3AHmay&#10;+b3RI/l9nVEvf8X2FwAAAP//AwBQSwMEFAAGAAgAAAAhAOO8aevfAAAADAEAAA8AAABkcnMvZG93&#10;bnJldi54bWxMj8tOwzAQRfdI/IM1SGwQtdOqrxCnAiSWCLUUxNKNhzgiHgfbefD3uCvYzePozpli&#10;N9mWDehD40hCNhPAkCqnG6olHF+fbjfAQlSkVesIJfxggF15eVGoXLuR9jgcYs1SCIVcSTAxdjnn&#10;oTJoVZi5DintPp23KqbW11x7NaZw2/K5ECtuVUPpglEdPhqsvg69leCOb+PLoDzHm298f9Yf/YNZ&#10;opTXV9P9HbCIU/yD4ayf1KFMTifXkw6slbBebxOZ5guRATsD2XKxAnZK1VbMN8DLgv9/ovwFAAD/&#10;/wMAUEsBAi0AFAAGAAgAAAAhALaDOJL+AAAA4QEAABMAAAAAAAAAAAAAAAAAAAAAAFtDb250ZW50&#10;X1R5cGVzXS54bWxQSwECLQAUAAYACAAAACEAOP0h/9YAAACUAQAACwAAAAAAAAAAAAAAAAAvAQAA&#10;X3JlbHMvLnJlbHNQSwECLQAUAAYACAAAACEAXTLbLbwBAABdAwAADgAAAAAAAAAAAAAAAAAuAgAA&#10;ZHJzL2Uyb0RvYy54bWxQSwECLQAUAAYACAAAACEA47xp698AAAAMAQAADwAAAAAAAAAAAAAAAAAW&#10;BAAAZHJzL2Rvd25yZXYueG1sUEsFBgAAAAAEAAQA8wAAACIFAAAAAA==&#10;" filled="f" strokeweight="1.0584mm">
              <v:textbox inset="0,0,0,0"/>
              <w10:wrap anchorx="page" anchory="page"/>
            </v:rect>
          </w:pict>
        </mc:Fallback>
      </mc:AlternateContent>
    </w:r>
  </w:p>
  <w:p w:rsidR="0073549B" w:rsidRDefault="00342EF0">
    <w:pPr>
      <w:pStyle w:val="Encabezado"/>
      <w:jc w:val="center"/>
    </w:pPr>
    <w:r>
      <w:rPr>
        <w:sz w:val="28"/>
      </w:rPr>
      <w:object w:dxaOrig="1440" w:dyaOrig="1440" w14:anchorId="4DD7B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2049" type="#_x0000_t75" style="position:absolute;left:0;text-align:left;margin-left:171.5pt;margin-top:-116.8pt;width:104.3pt;height:57.1pt;z-index:251658240;visibility:visible;mso-wrap-style:square;mso-position-horizontal-relative:margin;mso-position-vertical-relative:margin">
          <v:imagedata r:id="rId1" o:title=""/>
          <w10:wrap type="square" anchorx="margin" anchory="margin"/>
        </v:shape>
        <o:OLEObject Type="Embed" ProgID="Word.Picture.8" ShapeID="Object 1" DrawAspect="Content" ObjectID="_1559486351" r:id="rId2"/>
      </w:object>
    </w:r>
  </w:p>
  <w:p w:rsidR="0073549B" w:rsidRDefault="0073549B">
    <w:pPr>
      <w:pStyle w:val="Encabezado"/>
      <w:jc w:val="left"/>
      <w:rPr>
        <w:b/>
        <w:sz w:val="24"/>
      </w:rPr>
    </w:pPr>
  </w:p>
  <w:p w:rsidR="0073549B" w:rsidRDefault="0073549B">
    <w:pPr>
      <w:pStyle w:val="Encabezado"/>
      <w:jc w:val="center"/>
      <w:rPr>
        <w:b/>
        <w:sz w:val="24"/>
      </w:rPr>
    </w:pPr>
  </w:p>
  <w:p w:rsidR="0073549B" w:rsidRDefault="0073549B">
    <w:pPr>
      <w:pStyle w:val="Encabezado"/>
      <w:jc w:val="center"/>
      <w:rPr>
        <w:b/>
        <w:sz w:val="24"/>
      </w:rPr>
    </w:pPr>
  </w:p>
  <w:p w:rsidR="0073549B" w:rsidRDefault="0073549B">
    <w:pPr>
      <w:pStyle w:val="Encabezado"/>
      <w:jc w:val="center"/>
      <w:rPr>
        <w:b/>
        <w:sz w:val="24"/>
      </w:rPr>
    </w:pPr>
  </w:p>
  <w:p w:rsidR="0073549B" w:rsidRDefault="0073549B">
    <w:pPr>
      <w:pStyle w:val="Encabezado"/>
      <w:jc w:val="center"/>
      <w:rPr>
        <w:b/>
        <w:sz w:val="24"/>
      </w:rPr>
    </w:pPr>
    <w:r>
      <w:rPr>
        <w:b/>
        <w:sz w:val="24"/>
      </w:rPr>
      <w:t>MINISTERIO DE EDUCACIÓN NACIONAL</w:t>
    </w:r>
  </w:p>
  <w:p w:rsidR="0073549B" w:rsidRDefault="0073549B">
    <w:pPr>
      <w:pStyle w:val="Encabezado"/>
      <w:tabs>
        <w:tab w:val="left" w:pos="2410"/>
        <w:tab w:val="left" w:pos="2694"/>
        <w:tab w:val="left" w:pos="4220"/>
      </w:tabs>
      <w:jc w:val="left"/>
      <w:rPr>
        <w:b/>
        <w:sz w:val="24"/>
      </w:rPr>
    </w:pPr>
    <w:r>
      <w:rPr>
        <w:b/>
        <w:sz w:val="24"/>
      </w:rPr>
      <w:tab/>
    </w:r>
  </w:p>
  <w:p w:rsidR="0073549B" w:rsidRDefault="0073549B">
    <w:pPr>
      <w:pStyle w:val="Encabezado"/>
      <w:tabs>
        <w:tab w:val="left" w:pos="2410"/>
        <w:tab w:val="left" w:pos="2694"/>
      </w:tabs>
      <w:jc w:val="center"/>
      <w:rPr>
        <w:b/>
        <w:sz w:val="24"/>
      </w:rPr>
    </w:pPr>
  </w:p>
  <w:p w:rsidR="0073549B" w:rsidRDefault="0073549B">
    <w:pPr>
      <w:pStyle w:val="Encabezado"/>
      <w:tabs>
        <w:tab w:val="left" w:pos="2410"/>
        <w:tab w:val="left" w:pos="2694"/>
      </w:tabs>
    </w:pPr>
    <w:r>
      <w:rPr>
        <w:b/>
        <w:sz w:val="24"/>
      </w:rPr>
      <w:t xml:space="preserve">                                                   DECRETO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860"/>
    <w:multiLevelType w:val="multilevel"/>
    <w:tmpl w:val="8FBA7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4C16CB"/>
    <w:multiLevelType w:val="multilevel"/>
    <w:tmpl w:val="3BACBFF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FE05CD"/>
    <w:multiLevelType w:val="hybridMultilevel"/>
    <w:tmpl w:val="E80EFB52"/>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C813A6"/>
    <w:multiLevelType w:val="multilevel"/>
    <w:tmpl w:val="1464A348"/>
    <w:lvl w:ilvl="0">
      <w:start w:val="1"/>
      <w:numFmt w:val="decimal"/>
      <w:lvlText w:val="%1."/>
      <w:lvlJc w:val="left"/>
      <w:pPr>
        <w:ind w:left="410" w:hanging="4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39284B"/>
    <w:multiLevelType w:val="hybridMultilevel"/>
    <w:tmpl w:val="E960BC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3652CD"/>
    <w:multiLevelType w:val="multilevel"/>
    <w:tmpl w:val="29F62922"/>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9B7A40"/>
    <w:multiLevelType w:val="multilevel"/>
    <w:tmpl w:val="F2D0B2DE"/>
    <w:lvl w:ilvl="0">
      <w:numFmt w:val="bullet"/>
      <w:lvlText w:val="-"/>
      <w:lvlJc w:val="left"/>
      <w:pPr>
        <w:ind w:left="780" w:hanging="360"/>
      </w:pPr>
      <w:rPr>
        <w:rFonts w:ascii="Arial" w:eastAsia="Times New Roman" w:hAnsi="Arial" w:cs="Arial"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15:restartNumberingAfterBreak="0">
    <w:nsid w:val="1DAF7A71"/>
    <w:multiLevelType w:val="hybridMultilevel"/>
    <w:tmpl w:val="1AB26664"/>
    <w:lvl w:ilvl="0" w:tplc="43D8132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D10F30"/>
    <w:multiLevelType w:val="multilevel"/>
    <w:tmpl w:val="CDB89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62487B"/>
    <w:multiLevelType w:val="multilevel"/>
    <w:tmpl w:val="2D8A5C5C"/>
    <w:lvl w:ilvl="0">
      <w:start w:val="1"/>
      <w:numFmt w:val="decimal"/>
      <w:lvlText w:val="%1."/>
      <w:lvlJc w:val="left"/>
      <w:pPr>
        <w:ind w:left="360" w:hanging="360"/>
      </w:pPr>
      <w:rPr>
        <w:lang w:val="es-C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43A70F5"/>
    <w:multiLevelType w:val="hybridMultilevel"/>
    <w:tmpl w:val="D79CF840"/>
    <w:lvl w:ilvl="0" w:tplc="2E3AF12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54907BF"/>
    <w:multiLevelType w:val="hybridMultilevel"/>
    <w:tmpl w:val="AB046AB0"/>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0F6C3F"/>
    <w:multiLevelType w:val="hybridMultilevel"/>
    <w:tmpl w:val="22B6E706"/>
    <w:lvl w:ilvl="0" w:tplc="43D8132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CD3B28"/>
    <w:multiLevelType w:val="multilevel"/>
    <w:tmpl w:val="6406A0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AF9541E"/>
    <w:multiLevelType w:val="multilevel"/>
    <w:tmpl w:val="1464A348"/>
    <w:lvl w:ilvl="0">
      <w:start w:val="1"/>
      <w:numFmt w:val="decimal"/>
      <w:lvlText w:val="%1."/>
      <w:lvlJc w:val="left"/>
      <w:pPr>
        <w:ind w:left="410" w:hanging="4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B094221"/>
    <w:multiLevelType w:val="multilevel"/>
    <w:tmpl w:val="994ED62E"/>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306DB6"/>
    <w:multiLevelType w:val="hybridMultilevel"/>
    <w:tmpl w:val="C09A5E7E"/>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D1E1DD2"/>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D2A634D"/>
    <w:multiLevelType w:val="multilevel"/>
    <w:tmpl w:val="8FBA7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0074E3"/>
    <w:multiLevelType w:val="multilevel"/>
    <w:tmpl w:val="1464A348"/>
    <w:lvl w:ilvl="0">
      <w:start w:val="1"/>
      <w:numFmt w:val="decimal"/>
      <w:lvlText w:val="%1."/>
      <w:lvlJc w:val="left"/>
      <w:pPr>
        <w:ind w:left="410" w:hanging="4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F8E13BE"/>
    <w:multiLevelType w:val="multilevel"/>
    <w:tmpl w:val="45A2E0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1D567FB"/>
    <w:multiLevelType w:val="hybridMultilevel"/>
    <w:tmpl w:val="9F062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5D3712"/>
    <w:multiLevelType w:val="hybridMultilevel"/>
    <w:tmpl w:val="2138BD3C"/>
    <w:lvl w:ilvl="0" w:tplc="EDB490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B43586"/>
    <w:multiLevelType w:val="multilevel"/>
    <w:tmpl w:val="2E8E4AAE"/>
    <w:lvl w:ilvl="0">
      <w:numFmt w:val="bullet"/>
      <w:lvlText w:val="-"/>
      <w:lvlJc w:val="left"/>
      <w:pPr>
        <w:ind w:left="502" w:hanging="360"/>
      </w:pPr>
      <w:rPr>
        <w:rFonts w:ascii="Arial" w:eastAsia="Times New Roman" w:hAnsi="Arial" w:cs="Arial"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388761E4"/>
    <w:multiLevelType w:val="hybridMultilevel"/>
    <w:tmpl w:val="44525AD4"/>
    <w:lvl w:ilvl="0" w:tplc="240A0017">
      <w:start w:val="1"/>
      <w:numFmt w:val="lowerLetter"/>
      <w:lvlText w:val="%1)"/>
      <w:lvlJc w:val="left"/>
      <w:pPr>
        <w:ind w:left="1495" w:hanging="360"/>
      </w:pPr>
    </w:lvl>
    <w:lvl w:ilvl="1" w:tplc="240A0019" w:tentative="1">
      <w:start w:val="1"/>
      <w:numFmt w:val="lowerLetter"/>
      <w:lvlText w:val="%2."/>
      <w:lvlJc w:val="left"/>
      <w:pPr>
        <w:ind w:left="2215" w:hanging="360"/>
      </w:pPr>
    </w:lvl>
    <w:lvl w:ilvl="2" w:tplc="240A001B" w:tentative="1">
      <w:start w:val="1"/>
      <w:numFmt w:val="lowerRoman"/>
      <w:lvlText w:val="%3."/>
      <w:lvlJc w:val="right"/>
      <w:pPr>
        <w:ind w:left="2935" w:hanging="180"/>
      </w:pPr>
    </w:lvl>
    <w:lvl w:ilvl="3" w:tplc="240A000F" w:tentative="1">
      <w:start w:val="1"/>
      <w:numFmt w:val="decimal"/>
      <w:lvlText w:val="%4."/>
      <w:lvlJc w:val="left"/>
      <w:pPr>
        <w:ind w:left="3655" w:hanging="360"/>
      </w:pPr>
    </w:lvl>
    <w:lvl w:ilvl="4" w:tplc="240A0019" w:tentative="1">
      <w:start w:val="1"/>
      <w:numFmt w:val="lowerLetter"/>
      <w:lvlText w:val="%5."/>
      <w:lvlJc w:val="left"/>
      <w:pPr>
        <w:ind w:left="4375" w:hanging="360"/>
      </w:pPr>
    </w:lvl>
    <w:lvl w:ilvl="5" w:tplc="240A001B" w:tentative="1">
      <w:start w:val="1"/>
      <w:numFmt w:val="lowerRoman"/>
      <w:lvlText w:val="%6."/>
      <w:lvlJc w:val="right"/>
      <w:pPr>
        <w:ind w:left="5095" w:hanging="180"/>
      </w:pPr>
    </w:lvl>
    <w:lvl w:ilvl="6" w:tplc="240A000F" w:tentative="1">
      <w:start w:val="1"/>
      <w:numFmt w:val="decimal"/>
      <w:lvlText w:val="%7."/>
      <w:lvlJc w:val="left"/>
      <w:pPr>
        <w:ind w:left="5815" w:hanging="360"/>
      </w:pPr>
    </w:lvl>
    <w:lvl w:ilvl="7" w:tplc="240A0019" w:tentative="1">
      <w:start w:val="1"/>
      <w:numFmt w:val="lowerLetter"/>
      <w:lvlText w:val="%8."/>
      <w:lvlJc w:val="left"/>
      <w:pPr>
        <w:ind w:left="6535" w:hanging="360"/>
      </w:pPr>
    </w:lvl>
    <w:lvl w:ilvl="8" w:tplc="240A001B" w:tentative="1">
      <w:start w:val="1"/>
      <w:numFmt w:val="lowerRoman"/>
      <w:lvlText w:val="%9."/>
      <w:lvlJc w:val="right"/>
      <w:pPr>
        <w:ind w:left="7255" w:hanging="180"/>
      </w:pPr>
    </w:lvl>
  </w:abstractNum>
  <w:abstractNum w:abstractNumId="25" w15:restartNumberingAfterBreak="0">
    <w:nsid w:val="39E67A9C"/>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724F43"/>
    <w:multiLevelType w:val="multilevel"/>
    <w:tmpl w:val="F2066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F1F479A"/>
    <w:multiLevelType w:val="hybridMultilevel"/>
    <w:tmpl w:val="CB1C72F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2D27FC"/>
    <w:multiLevelType w:val="multilevel"/>
    <w:tmpl w:val="4B2665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1B50A2A"/>
    <w:multiLevelType w:val="hybridMultilevel"/>
    <w:tmpl w:val="073E4530"/>
    <w:lvl w:ilvl="0" w:tplc="240A000F">
      <w:start w:val="1"/>
      <w:numFmt w:val="decimal"/>
      <w:lvlText w:val="%1."/>
      <w:lvlJc w:val="left"/>
      <w:pPr>
        <w:ind w:left="1080" w:hanging="360"/>
      </w:pPr>
    </w:lvl>
    <w:lvl w:ilvl="1" w:tplc="43D81320">
      <w:numFmt w:val="bullet"/>
      <w:lvlText w:val="-"/>
      <w:lvlJc w:val="left"/>
      <w:pPr>
        <w:ind w:left="1800" w:hanging="360"/>
      </w:pPr>
      <w:rPr>
        <w:rFonts w:ascii="Arial" w:eastAsia="Times New Roman" w:hAnsi="Arial" w:cs="Arial"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48437C47"/>
    <w:multiLevelType w:val="hybridMultilevel"/>
    <w:tmpl w:val="120803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AF138CB"/>
    <w:multiLevelType w:val="hybridMultilevel"/>
    <w:tmpl w:val="168689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F7A3E04"/>
    <w:multiLevelType w:val="multilevel"/>
    <w:tmpl w:val="AECC59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55147B1"/>
    <w:multiLevelType w:val="hybridMultilevel"/>
    <w:tmpl w:val="371C92A0"/>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572E555F"/>
    <w:multiLevelType w:val="hybridMultilevel"/>
    <w:tmpl w:val="AB046AB0"/>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8A43E5"/>
    <w:multiLevelType w:val="hybridMultilevel"/>
    <w:tmpl w:val="5E7655E8"/>
    <w:lvl w:ilvl="0" w:tplc="D46E1FD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2440DD4"/>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6D53B42"/>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7B8419D"/>
    <w:multiLevelType w:val="multilevel"/>
    <w:tmpl w:val="BD981290"/>
    <w:lvl w:ilvl="0">
      <w:start w:val="1"/>
      <w:numFmt w:val="decimal"/>
      <w:lvlText w:val="%1."/>
      <w:lvlJc w:val="left"/>
      <w:pPr>
        <w:ind w:left="502"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694A54"/>
    <w:multiLevelType w:val="multilevel"/>
    <w:tmpl w:val="78165A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5964EB0"/>
    <w:multiLevelType w:val="hybridMultilevel"/>
    <w:tmpl w:val="87F6924A"/>
    <w:lvl w:ilvl="0" w:tplc="312A9B6E">
      <w:start w:val="6"/>
      <w:numFmt w:val="decimal"/>
      <w:lvlText w:val="%1."/>
      <w:lvlJc w:val="left"/>
      <w:pPr>
        <w:ind w:left="720" w:hanging="360"/>
      </w:pPr>
      <w:rPr>
        <w:rFonts w:hint="default"/>
        <w:b/>
      </w:rPr>
    </w:lvl>
    <w:lvl w:ilvl="1" w:tplc="24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5D1DAE"/>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AB53E96"/>
    <w:multiLevelType w:val="multilevel"/>
    <w:tmpl w:val="90687D4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D015D63"/>
    <w:multiLevelType w:val="multilevel"/>
    <w:tmpl w:val="F87C7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D1F664F"/>
    <w:multiLevelType w:val="multilevel"/>
    <w:tmpl w:val="02B4F7E6"/>
    <w:lvl w:ilvl="0">
      <w:numFmt w:val="bullet"/>
      <w:lvlText w:val="-"/>
      <w:lvlJc w:val="left"/>
      <w:pPr>
        <w:ind w:left="720" w:hanging="360"/>
      </w:pPr>
      <w:rPr>
        <w:rFonts w:ascii="Arial" w:eastAsia="Times New Roman"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392091"/>
    <w:multiLevelType w:val="hybridMultilevel"/>
    <w:tmpl w:val="8A8A56E8"/>
    <w:lvl w:ilvl="0" w:tplc="D118122C">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E583920"/>
    <w:multiLevelType w:val="hybridMultilevel"/>
    <w:tmpl w:val="9FD8B0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F040D51"/>
    <w:multiLevelType w:val="multilevel"/>
    <w:tmpl w:val="1464A348"/>
    <w:lvl w:ilvl="0">
      <w:start w:val="1"/>
      <w:numFmt w:val="decimal"/>
      <w:lvlText w:val="%1."/>
      <w:lvlJc w:val="left"/>
      <w:pPr>
        <w:ind w:left="410" w:hanging="4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FF700EB"/>
    <w:multiLevelType w:val="hybridMultilevel"/>
    <w:tmpl w:val="EF04FD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7"/>
  </w:num>
  <w:num w:numId="2">
    <w:abstractNumId w:val="9"/>
  </w:num>
  <w:num w:numId="3">
    <w:abstractNumId w:val="42"/>
  </w:num>
  <w:num w:numId="4">
    <w:abstractNumId w:val="26"/>
  </w:num>
  <w:num w:numId="5">
    <w:abstractNumId w:val="13"/>
  </w:num>
  <w:num w:numId="6">
    <w:abstractNumId w:val="1"/>
  </w:num>
  <w:num w:numId="7">
    <w:abstractNumId w:val="36"/>
  </w:num>
  <w:num w:numId="8">
    <w:abstractNumId w:val="44"/>
  </w:num>
  <w:num w:numId="9">
    <w:abstractNumId w:val="15"/>
  </w:num>
  <w:num w:numId="10">
    <w:abstractNumId w:val="23"/>
  </w:num>
  <w:num w:numId="11">
    <w:abstractNumId w:val="5"/>
  </w:num>
  <w:num w:numId="12">
    <w:abstractNumId w:val="28"/>
  </w:num>
  <w:num w:numId="13">
    <w:abstractNumId w:val="43"/>
  </w:num>
  <w:num w:numId="14">
    <w:abstractNumId w:val="8"/>
  </w:num>
  <w:num w:numId="15">
    <w:abstractNumId w:val="39"/>
  </w:num>
  <w:num w:numId="16">
    <w:abstractNumId w:val="32"/>
  </w:num>
  <w:num w:numId="17">
    <w:abstractNumId w:val="38"/>
  </w:num>
  <w:num w:numId="18">
    <w:abstractNumId w:val="6"/>
  </w:num>
  <w:num w:numId="19">
    <w:abstractNumId w:val="20"/>
  </w:num>
  <w:num w:numId="20">
    <w:abstractNumId w:val="18"/>
  </w:num>
  <w:num w:numId="21">
    <w:abstractNumId w:val="12"/>
  </w:num>
  <w:num w:numId="22">
    <w:abstractNumId w:val="29"/>
  </w:num>
  <w:num w:numId="23">
    <w:abstractNumId w:val="31"/>
  </w:num>
  <w:num w:numId="24">
    <w:abstractNumId w:val="22"/>
  </w:num>
  <w:num w:numId="25">
    <w:abstractNumId w:val="40"/>
  </w:num>
  <w:num w:numId="26">
    <w:abstractNumId w:val="48"/>
  </w:num>
  <w:num w:numId="27">
    <w:abstractNumId w:val="25"/>
  </w:num>
  <w:num w:numId="28">
    <w:abstractNumId w:val="7"/>
  </w:num>
  <w:num w:numId="29">
    <w:abstractNumId w:val="41"/>
  </w:num>
  <w:num w:numId="30">
    <w:abstractNumId w:val="3"/>
  </w:num>
  <w:num w:numId="31">
    <w:abstractNumId w:val="0"/>
  </w:num>
  <w:num w:numId="32">
    <w:abstractNumId w:val="19"/>
  </w:num>
  <w:num w:numId="33">
    <w:abstractNumId w:val="16"/>
  </w:num>
  <w:num w:numId="34">
    <w:abstractNumId w:val="30"/>
  </w:num>
  <w:num w:numId="35">
    <w:abstractNumId w:val="2"/>
  </w:num>
  <w:num w:numId="36">
    <w:abstractNumId w:val="11"/>
  </w:num>
  <w:num w:numId="37">
    <w:abstractNumId w:val="34"/>
  </w:num>
  <w:num w:numId="38">
    <w:abstractNumId w:val="17"/>
  </w:num>
  <w:num w:numId="39">
    <w:abstractNumId w:val="37"/>
  </w:num>
  <w:num w:numId="40">
    <w:abstractNumId w:val="4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6"/>
  </w:num>
  <w:num w:numId="44">
    <w:abstractNumId w:val="35"/>
  </w:num>
  <w:num w:numId="45">
    <w:abstractNumId w:val="24"/>
  </w:num>
  <w:num w:numId="46">
    <w:abstractNumId w:val="10"/>
  </w:num>
  <w:num w:numId="47">
    <w:abstractNumId w:val="33"/>
  </w:num>
  <w:num w:numId="48">
    <w:abstractNumId w:val="4"/>
  </w:num>
  <w:num w:numId="49">
    <w:abstractNumId w:val="1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1"/>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E4"/>
    <w:rsid w:val="00004152"/>
    <w:rsid w:val="00014A1D"/>
    <w:rsid w:val="00036971"/>
    <w:rsid w:val="00037701"/>
    <w:rsid w:val="00037A57"/>
    <w:rsid w:val="00045BFA"/>
    <w:rsid w:val="000476A4"/>
    <w:rsid w:val="00047829"/>
    <w:rsid w:val="00047E17"/>
    <w:rsid w:val="0005269A"/>
    <w:rsid w:val="00053E8C"/>
    <w:rsid w:val="000712FE"/>
    <w:rsid w:val="00072F79"/>
    <w:rsid w:val="00073D35"/>
    <w:rsid w:val="00074E7F"/>
    <w:rsid w:val="000900B0"/>
    <w:rsid w:val="00095A07"/>
    <w:rsid w:val="00097323"/>
    <w:rsid w:val="000A3C86"/>
    <w:rsid w:val="000A4DA6"/>
    <w:rsid w:val="000A6EB0"/>
    <w:rsid w:val="000B68D0"/>
    <w:rsid w:val="000C2847"/>
    <w:rsid w:val="000C6A66"/>
    <w:rsid w:val="000D06E4"/>
    <w:rsid w:val="000D07AC"/>
    <w:rsid w:val="000D11E9"/>
    <w:rsid w:val="000D154D"/>
    <w:rsid w:val="000D2840"/>
    <w:rsid w:val="000D3350"/>
    <w:rsid w:val="000E2355"/>
    <w:rsid w:val="000E2A38"/>
    <w:rsid w:val="000E4D9F"/>
    <w:rsid w:val="000E4DF9"/>
    <w:rsid w:val="000E62FB"/>
    <w:rsid w:val="000F0150"/>
    <w:rsid w:val="000F151A"/>
    <w:rsid w:val="000F6DF3"/>
    <w:rsid w:val="001013E7"/>
    <w:rsid w:val="00101CF3"/>
    <w:rsid w:val="0011445E"/>
    <w:rsid w:val="001146D1"/>
    <w:rsid w:val="00115299"/>
    <w:rsid w:val="001171E2"/>
    <w:rsid w:val="00117E8D"/>
    <w:rsid w:val="001204A3"/>
    <w:rsid w:val="00122D0B"/>
    <w:rsid w:val="001233D5"/>
    <w:rsid w:val="00123A56"/>
    <w:rsid w:val="00127405"/>
    <w:rsid w:val="00127E3B"/>
    <w:rsid w:val="00130F84"/>
    <w:rsid w:val="001327C4"/>
    <w:rsid w:val="0013671A"/>
    <w:rsid w:val="0014556C"/>
    <w:rsid w:val="00145EB1"/>
    <w:rsid w:val="00151A54"/>
    <w:rsid w:val="00155CBC"/>
    <w:rsid w:val="00167895"/>
    <w:rsid w:val="001743B4"/>
    <w:rsid w:val="0018406A"/>
    <w:rsid w:val="00185E50"/>
    <w:rsid w:val="00191193"/>
    <w:rsid w:val="001969A2"/>
    <w:rsid w:val="001A224D"/>
    <w:rsid w:val="001A3718"/>
    <w:rsid w:val="001A5B43"/>
    <w:rsid w:val="001A6B1D"/>
    <w:rsid w:val="001B1AE6"/>
    <w:rsid w:val="001B49BB"/>
    <w:rsid w:val="001B4B50"/>
    <w:rsid w:val="001B670F"/>
    <w:rsid w:val="001B6815"/>
    <w:rsid w:val="001B6E72"/>
    <w:rsid w:val="001B7370"/>
    <w:rsid w:val="001C1D3A"/>
    <w:rsid w:val="001C4B81"/>
    <w:rsid w:val="001C795A"/>
    <w:rsid w:val="001D2324"/>
    <w:rsid w:val="001D4A15"/>
    <w:rsid w:val="001E049F"/>
    <w:rsid w:val="001E0E9B"/>
    <w:rsid w:val="001E3938"/>
    <w:rsid w:val="001E741D"/>
    <w:rsid w:val="001F616E"/>
    <w:rsid w:val="001F6337"/>
    <w:rsid w:val="001F66FB"/>
    <w:rsid w:val="001F7B30"/>
    <w:rsid w:val="002005C0"/>
    <w:rsid w:val="00201D4E"/>
    <w:rsid w:val="002021DD"/>
    <w:rsid w:val="00205687"/>
    <w:rsid w:val="0020677A"/>
    <w:rsid w:val="002072E6"/>
    <w:rsid w:val="00207E30"/>
    <w:rsid w:val="002123E1"/>
    <w:rsid w:val="002161FC"/>
    <w:rsid w:val="00217886"/>
    <w:rsid w:val="002208CA"/>
    <w:rsid w:val="0022249A"/>
    <w:rsid w:val="00222516"/>
    <w:rsid w:val="00227A14"/>
    <w:rsid w:val="0023099D"/>
    <w:rsid w:val="00231C1F"/>
    <w:rsid w:val="00231F35"/>
    <w:rsid w:val="00232F10"/>
    <w:rsid w:val="00236375"/>
    <w:rsid w:val="002429DD"/>
    <w:rsid w:val="00244124"/>
    <w:rsid w:val="0024748B"/>
    <w:rsid w:val="002504B1"/>
    <w:rsid w:val="00251079"/>
    <w:rsid w:val="002530F3"/>
    <w:rsid w:val="00264C47"/>
    <w:rsid w:val="00280CA9"/>
    <w:rsid w:val="00286926"/>
    <w:rsid w:val="00291659"/>
    <w:rsid w:val="002947DA"/>
    <w:rsid w:val="002A0435"/>
    <w:rsid w:val="002B24CC"/>
    <w:rsid w:val="002C0C64"/>
    <w:rsid w:val="002C20A7"/>
    <w:rsid w:val="002D1CFC"/>
    <w:rsid w:val="002D5448"/>
    <w:rsid w:val="002D749C"/>
    <w:rsid w:val="002E394A"/>
    <w:rsid w:val="002E6F57"/>
    <w:rsid w:val="002E7A9E"/>
    <w:rsid w:val="002F198E"/>
    <w:rsid w:val="00305728"/>
    <w:rsid w:val="00307989"/>
    <w:rsid w:val="0030799C"/>
    <w:rsid w:val="003100A2"/>
    <w:rsid w:val="003117D7"/>
    <w:rsid w:val="00316E7C"/>
    <w:rsid w:val="0032257C"/>
    <w:rsid w:val="00322A51"/>
    <w:rsid w:val="00326B3E"/>
    <w:rsid w:val="00331EDC"/>
    <w:rsid w:val="003322B2"/>
    <w:rsid w:val="00333B4E"/>
    <w:rsid w:val="00335219"/>
    <w:rsid w:val="00336ADF"/>
    <w:rsid w:val="003425E5"/>
    <w:rsid w:val="00342EF0"/>
    <w:rsid w:val="00343FB6"/>
    <w:rsid w:val="0034496A"/>
    <w:rsid w:val="0035139D"/>
    <w:rsid w:val="003533C5"/>
    <w:rsid w:val="0035368E"/>
    <w:rsid w:val="00362C0B"/>
    <w:rsid w:val="003667EB"/>
    <w:rsid w:val="00373800"/>
    <w:rsid w:val="003746A4"/>
    <w:rsid w:val="00376C65"/>
    <w:rsid w:val="003873CE"/>
    <w:rsid w:val="00387720"/>
    <w:rsid w:val="003959CA"/>
    <w:rsid w:val="003A1B24"/>
    <w:rsid w:val="003A1C42"/>
    <w:rsid w:val="003A2F2B"/>
    <w:rsid w:val="003B7578"/>
    <w:rsid w:val="003C0BC0"/>
    <w:rsid w:val="003C17D8"/>
    <w:rsid w:val="003C4E69"/>
    <w:rsid w:val="003C78FC"/>
    <w:rsid w:val="003D152B"/>
    <w:rsid w:val="003D21D2"/>
    <w:rsid w:val="003D3866"/>
    <w:rsid w:val="003D4870"/>
    <w:rsid w:val="003D5765"/>
    <w:rsid w:val="003D653A"/>
    <w:rsid w:val="003D7C3B"/>
    <w:rsid w:val="003E120E"/>
    <w:rsid w:val="003E25E6"/>
    <w:rsid w:val="003E271F"/>
    <w:rsid w:val="003E5D6A"/>
    <w:rsid w:val="003E6D69"/>
    <w:rsid w:val="003F02AF"/>
    <w:rsid w:val="003F659B"/>
    <w:rsid w:val="003F6E21"/>
    <w:rsid w:val="004022EB"/>
    <w:rsid w:val="00405C9B"/>
    <w:rsid w:val="00405E9D"/>
    <w:rsid w:val="00412118"/>
    <w:rsid w:val="00412877"/>
    <w:rsid w:val="00412F00"/>
    <w:rsid w:val="0041683F"/>
    <w:rsid w:val="00416895"/>
    <w:rsid w:val="00417206"/>
    <w:rsid w:val="004216D6"/>
    <w:rsid w:val="0042241D"/>
    <w:rsid w:val="00431445"/>
    <w:rsid w:val="004329A7"/>
    <w:rsid w:val="00436231"/>
    <w:rsid w:val="00437ED9"/>
    <w:rsid w:val="00441129"/>
    <w:rsid w:val="00450C9F"/>
    <w:rsid w:val="00454B80"/>
    <w:rsid w:val="0045665E"/>
    <w:rsid w:val="004660B9"/>
    <w:rsid w:val="00467FEF"/>
    <w:rsid w:val="004701CE"/>
    <w:rsid w:val="00470501"/>
    <w:rsid w:val="0047183D"/>
    <w:rsid w:val="0047371A"/>
    <w:rsid w:val="004756E1"/>
    <w:rsid w:val="00482E5C"/>
    <w:rsid w:val="004846FF"/>
    <w:rsid w:val="004A05F9"/>
    <w:rsid w:val="004A0AE0"/>
    <w:rsid w:val="004A1844"/>
    <w:rsid w:val="004A397F"/>
    <w:rsid w:val="004A4107"/>
    <w:rsid w:val="004A51E8"/>
    <w:rsid w:val="004A5BE6"/>
    <w:rsid w:val="004A62BE"/>
    <w:rsid w:val="004A67BC"/>
    <w:rsid w:val="004B0991"/>
    <w:rsid w:val="004B1FDB"/>
    <w:rsid w:val="004B282C"/>
    <w:rsid w:val="004B4E2D"/>
    <w:rsid w:val="004B526F"/>
    <w:rsid w:val="004C4EE3"/>
    <w:rsid w:val="004D403E"/>
    <w:rsid w:val="004D4533"/>
    <w:rsid w:val="004E04C7"/>
    <w:rsid w:val="004E39E8"/>
    <w:rsid w:val="004E7AE3"/>
    <w:rsid w:val="004E7CFD"/>
    <w:rsid w:val="004F330A"/>
    <w:rsid w:val="004F39D4"/>
    <w:rsid w:val="004F613D"/>
    <w:rsid w:val="004F73F3"/>
    <w:rsid w:val="004F7FFB"/>
    <w:rsid w:val="00501A31"/>
    <w:rsid w:val="0050417E"/>
    <w:rsid w:val="00510F0E"/>
    <w:rsid w:val="00511755"/>
    <w:rsid w:val="0051556D"/>
    <w:rsid w:val="005158D1"/>
    <w:rsid w:val="0051740F"/>
    <w:rsid w:val="00524C0D"/>
    <w:rsid w:val="005256EE"/>
    <w:rsid w:val="00527CE7"/>
    <w:rsid w:val="00530E4F"/>
    <w:rsid w:val="0053111E"/>
    <w:rsid w:val="00534D3E"/>
    <w:rsid w:val="005369C4"/>
    <w:rsid w:val="00537473"/>
    <w:rsid w:val="00537E97"/>
    <w:rsid w:val="00541CE1"/>
    <w:rsid w:val="005440D8"/>
    <w:rsid w:val="005450E5"/>
    <w:rsid w:val="00551DBA"/>
    <w:rsid w:val="005522AF"/>
    <w:rsid w:val="00553F91"/>
    <w:rsid w:val="00555C20"/>
    <w:rsid w:val="005560F4"/>
    <w:rsid w:val="005564A1"/>
    <w:rsid w:val="00565674"/>
    <w:rsid w:val="00565BC9"/>
    <w:rsid w:val="005724E9"/>
    <w:rsid w:val="00577654"/>
    <w:rsid w:val="0058474F"/>
    <w:rsid w:val="00591628"/>
    <w:rsid w:val="0059277E"/>
    <w:rsid w:val="00593459"/>
    <w:rsid w:val="00597FBA"/>
    <w:rsid w:val="005A3F46"/>
    <w:rsid w:val="005A514A"/>
    <w:rsid w:val="005B0CFB"/>
    <w:rsid w:val="005C6074"/>
    <w:rsid w:val="005D1A67"/>
    <w:rsid w:val="005D4DDC"/>
    <w:rsid w:val="005D54BD"/>
    <w:rsid w:val="005E01C7"/>
    <w:rsid w:val="005E0DA9"/>
    <w:rsid w:val="005E23B0"/>
    <w:rsid w:val="005E681B"/>
    <w:rsid w:val="005E68BA"/>
    <w:rsid w:val="005E6A24"/>
    <w:rsid w:val="005E7523"/>
    <w:rsid w:val="005F0E9B"/>
    <w:rsid w:val="005F54E4"/>
    <w:rsid w:val="005F650C"/>
    <w:rsid w:val="0060370B"/>
    <w:rsid w:val="0060370F"/>
    <w:rsid w:val="00605134"/>
    <w:rsid w:val="00607771"/>
    <w:rsid w:val="006131BF"/>
    <w:rsid w:val="00613D72"/>
    <w:rsid w:val="00615E59"/>
    <w:rsid w:val="00620BD9"/>
    <w:rsid w:val="00621458"/>
    <w:rsid w:val="00623000"/>
    <w:rsid w:val="00625403"/>
    <w:rsid w:val="00625F5D"/>
    <w:rsid w:val="006264C2"/>
    <w:rsid w:val="006320AC"/>
    <w:rsid w:val="006372BA"/>
    <w:rsid w:val="0065317D"/>
    <w:rsid w:val="0066135A"/>
    <w:rsid w:val="006657BC"/>
    <w:rsid w:val="0066664F"/>
    <w:rsid w:val="00671D89"/>
    <w:rsid w:val="00673F26"/>
    <w:rsid w:val="00676C9B"/>
    <w:rsid w:val="00676DE7"/>
    <w:rsid w:val="00681485"/>
    <w:rsid w:val="00682D0B"/>
    <w:rsid w:val="00683B59"/>
    <w:rsid w:val="00686469"/>
    <w:rsid w:val="00687DEF"/>
    <w:rsid w:val="00692BC3"/>
    <w:rsid w:val="006932B0"/>
    <w:rsid w:val="00697142"/>
    <w:rsid w:val="006A3262"/>
    <w:rsid w:val="006A6554"/>
    <w:rsid w:val="006B0A01"/>
    <w:rsid w:val="006B4DEA"/>
    <w:rsid w:val="006B57CD"/>
    <w:rsid w:val="006C151D"/>
    <w:rsid w:val="006C43B8"/>
    <w:rsid w:val="006C4BCF"/>
    <w:rsid w:val="006D0158"/>
    <w:rsid w:val="006D608D"/>
    <w:rsid w:val="006E10AA"/>
    <w:rsid w:val="006E24A1"/>
    <w:rsid w:val="006E24AC"/>
    <w:rsid w:val="006E24F6"/>
    <w:rsid w:val="006E4C34"/>
    <w:rsid w:val="006E647D"/>
    <w:rsid w:val="006F0534"/>
    <w:rsid w:val="006F4057"/>
    <w:rsid w:val="006F42F9"/>
    <w:rsid w:val="006F69CE"/>
    <w:rsid w:val="0070113B"/>
    <w:rsid w:val="00702BB6"/>
    <w:rsid w:val="00702D95"/>
    <w:rsid w:val="007057B8"/>
    <w:rsid w:val="007274E6"/>
    <w:rsid w:val="00732745"/>
    <w:rsid w:val="00733B70"/>
    <w:rsid w:val="0073549B"/>
    <w:rsid w:val="007372BC"/>
    <w:rsid w:val="00740123"/>
    <w:rsid w:val="0074115C"/>
    <w:rsid w:val="0074193C"/>
    <w:rsid w:val="00741A29"/>
    <w:rsid w:val="007455AF"/>
    <w:rsid w:val="00745801"/>
    <w:rsid w:val="007466EA"/>
    <w:rsid w:val="00751116"/>
    <w:rsid w:val="0075193F"/>
    <w:rsid w:val="0075254B"/>
    <w:rsid w:val="0075307B"/>
    <w:rsid w:val="0075359F"/>
    <w:rsid w:val="00754CD7"/>
    <w:rsid w:val="007555E4"/>
    <w:rsid w:val="00761F6E"/>
    <w:rsid w:val="00764519"/>
    <w:rsid w:val="00767A79"/>
    <w:rsid w:val="0077536F"/>
    <w:rsid w:val="0078195E"/>
    <w:rsid w:val="00786857"/>
    <w:rsid w:val="00787717"/>
    <w:rsid w:val="0079238C"/>
    <w:rsid w:val="00795270"/>
    <w:rsid w:val="0079677A"/>
    <w:rsid w:val="007A13C1"/>
    <w:rsid w:val="007A343B"/>
    <w:rsid w:val="007A5857"/>
    <w:rsid w:val="007B0423"/>
    <w:rsid w:val="007B071B"/>
    <w:rsid w:val="007B3075"/>
    <w:rsid w:val="007B31D0"/>
    <w:rsid w:val="007B45F0"/>
    <w:rsid w:val="007B6A51"/>
    <w:rsid w:val="007C1138"/>
    <w:rsid w:val="007C4966"/>
    <w:rsid w:val="007C72AD"/>
    <w:rsid w:val="007D0310"/>
    <w:rsid w:val="007D0A1D"/>
    <w:rsid w:val="007D33D8"/>
    <w:rsid w:val="007D7400"/>
    <w:rsid w:val="007E3D4C"/>
    <w:rsid w:val="007E3ECC"/>
    <w:rsid w:val="007E4E98"/>
    <w:rsid w:val="007E6B84"/>
    <w:rsid w:val="007F0802"/>
    <w:rsid w:val="007F3B7C"/>
    <w:rsid w:val="007F58FB"/>
    <w:rsid w:val="007F6FCF"/>
    <w:rsid w:val="00804656"/>
    <w:rsid w:val="00804BCF"/>
    <w:rsid w:val="00804C09"/>
    <w:rsid w:val="0080672A"/>
    <w:rsid w:val="0081182E"/>
    <w:rsid w:val="008118D1"/>
    <w:rsid w:val="0081461C"/>
    <w:rsid w:val="00816CB4"/>
    <w:rsid w:val="008203D4"/>
    <w:rsid w:val="00820C54"/>
    <w:rsid w:val="00820F4D"/>
    <w:rsid w:val="00821096"/>
    <w:rsid w:val="00823538"/>
    <w:rsid w:val="00827855"/>
    <w:rsid w:val="00830F26"/>
    <w:rsid w:val="00832170"/>
    <w:rsid w:val="008414A8"/>
    <w:rsid w:val="00843A3C"/>
    <w:rsid w:val="008449F7"/>
    <w:rsid w:val="00846102"/>
    <w:rsid w:val="0085290B"/>
    <w:rsid w:val="00856E65"/>
    <w:rsid w:val="00865088"/>
    <w:rsid w:val="00865694"/>
    <w:rsid w:val="00867889"/>
    <w:rsid w:val="008725E4"/>
    <w:rsid w:val="00873D3A"/>
    <w:rsid w:val="008831C9"/>
    <w:rsid w:val="0088640D"/>
    <w:rsid w:val="00886885"/>
    <w:rsid w:val="00890105"/>
    <w:rsid w:val="00891CD6"/>
    <w:rsid w:val="00895FF1"/>
    <w:rsid w:val="008A05A4"/>
    <w:rsid w:val="008A1028"/>
    <w:rsid w:val="008A545E"/>
    <w:rsid w:val="008B58DE"/>
    <w:rsid w:val="008C202B"/>
    <w:rsid w:val="008C4744"/>
    <w:rsid w:val="008C5055"/>
    <w:rsid w:val="008C6D09"/>
    <w:rsid w:val="008D0959"/>
    <w:rsid w:val="008D09E1"/>
    <w:rsid w:val="008D259E"/>
    <w:rsid w:val="008D3AA5"/>
    <w:rsid w:val="008D485E"/>
    <w:rsid w:val="008D6868"/>
    <w:rsid w:val="008D6CEA"/>
    <w:rsid w:val="008E0986"/>
    <w:rsid w:val="00900BEE"/>
    <w:rsid w:val="009013B9"/>
    <w:rsid w:val="00901BCA"/>
    <w:rsid w:val="00902D8A"/>
    <w:rsid w:val="009036EB"/>
    <w:rsid w:val="00913B0D"/>
    <w:rsid w:val="0091453E"/>
    <w:rsid w:val="00914F42"/>
    <w:rsid w:val="00917024"/>
    <w:rsid w:val="009208DD"/>
    <w:rsid w:val="00923B9F"/>
    <w:rsid w:val="00925C39"/>
    <w:rsid w:val="009312AA"/>
    <w:rsid w:val="00933079"/>
    <w:rsid w:val="00933702"/>
    <w:rsid w:val="00933B44"/>
    <w:rsid w:val="00944B50"/>
    <w:rsid w:val="00945E88"/>
    <w:rsid w:val="00947503"/>
    <w:rsid w:val="00950B9B"/>
    <w:rsid w:val="00952700"/>
    <w:rsid w:val="009676D5"/>
    <w:rsid w:val="00970DBE"/>
    <w:rsid w:val="0097281F"/>
    <w:rsid w:val="00973E78"/>
    <w:rsid w:val="009752F2"/>
    <w:rsid w:val="00976364"/>
    <w:rsid w:val="00976E22"/>
    <w:rsid w:val="00977097"/>
    <w:rsid w:val="009804B4"/>
    <w:rsid w:val="009948AB"/>
    <w:rsid w:val="00995032"/>
    <w:rsid w:val="00995546"/>
    <w:rsid w:val="0099789B"/>
    <w:rsid w:val="009A1035"/>
    <w:rsid w:val="009A380D"/>
    <w:rsid w:val="009A5141"/>
    <w:rsid w:val="009A6DEC"/>
    <w:rsid w:val="009A72BC"/>
    <w:rsid w:val="009B2799"/>
    <w:rsid w:val="009C594D"/>
    <w:rsid w:val="009C6C71"/>
    <w:rsid w:val="009D2FF0"/>
    <w:rsid w:val="009D3B0B"/>
    <w:rsid w:val="009D7A07"/>
    <w:rsid w:val="009E09F8"/>
    <w:rsid w:val="009E3E31"/>
    <w:rsid w:val="009E4F34"/>
    <w:rsid w:val="00A04909"/>
    <w:rsid w:val="00A05520"/>
    <w:rsid w:val="00A13871"/>
    <w:rsid w:val="00A14CC7"/>
    <w:rsid w:val="00A1635D"/>
    <w:rsid w:val="00A208B9"/>
    <w:rsid w:val="00A21BD8"/>
    <w:rsid w:val="00A257BA"/>
    <w:rsid w:val="00A32D8F"/>
    <w:rsid w:val="00A36EAE"/>
    <w:rsid w:val="00A37692"/>
    <w:rsid w:val="00A4279A"/>
    <w:rsid w:val="00A4569F"/>
    <w:rsid w:val="00A47D69"/>
    <w:rsid w:val="00A54456"/>
    <w:rsid w:val="00A55B95"/>
    <w:rsid w:val="00A55D4A"/>
    <w:rsid w:val="00A5743E"/>
    <w:rsid w:val="00A57744"/>
    <w:rsid w:val="00A6187F"/>
    <w:rsid w:val="00A652A9"/>
    <w:rsid w:val="00A657E7"/>
    <w:rsid w:val="00A700B8"/>
    <w:rsid w:val="00A72A31"/>
    <w:rsid w:val="00A7420E"/>
    <w:rsid w:val="00A8024B"/>
    <w:rsid w:val="00A82082"/>
    <w:rsid w:val="00A84225"/>
    <w:rsid w:val="00A84F2C"/>
    <w:rsid w:val="00A86164"/>
    <w:rsid w:val="00A879C3"/>
    <w:rsid w:val="00A90B6C"/>
    <w:rsid w:val="00A924E1"/>
    <w:rsid w:val="00A92CED"/>
    <w:rsid w:val="00A97895"/>
    <w:rsid w:val="00AA1FB8"/>
    <w:rsid w:val="00AC0694"/>
    <w:rsid w:val="00AC27A1"/>
    <w:rsid w:val="00AC37A3"/>
    <w:rsid w:val="00AD0528"/>
    <w:rsid w:val="00AD2998"/>
    <w:rsid w:val="00AD312E"/>
    <w:rsid w:val="00AD7A67"/>
    <w:rsid w:val="00AE2A88"/>
    <w:rsid w:val="00AE2B92"/>
    <w:rsid w:val="00AE328C"/>
    <w:rsid w:val="00AE7C39"/>
    <w:rsid w:val="00AE7FD2"/>
    <w:rsid w:val="00B00A63"/>
    <w:rsid w:val="00B07983"/>
    <w:rsid w:val="00B07D0C"/>
    <w:rsid w:val="00B1023D"/>
    <w:rsid w:val="00B134EA"/>
    <w:rsid w:val="00B1436A"/>
    <w:rsid w:val="00B250DC"/>
    <w:rsid w:val="00B276D0"/>
    <w:rsid w:val="00B35ADB"/>
    <w:rsid w:val="00B425A5"/>
    <w:rsid w:val="00B456C1"/>
    <w:rsid w:val="00B476F2"/>
    <w:rsid w:val="00B54728"/>
    <w:rsid w:val="00B56111"/>
    <w:rsid w:val="00B64827"/>
    <w:rsid w:val="00B66510"/>
    <w:rsid w:val="00B71EFA"/>
    <w:rsid w:val="00B83DC6"/>
    <w:rsid w:val="00B85AB5"/>
    <w:rsid w:val="00B85DCE"/>
    <w:rsid w:val="00B85F3F"/>
    <w:rsid w:val="00B86CFD"/>
    <w:rsid w:val="00B87A45"/>
    <w:rsid w:val="00B91177"/>
    <w:rsid w:val="00BA2ECF"/>
    <w:rsid w:val="00BA3187"/>
    <w:rsid w:val="00BA3A9D"/>
    <w:rsid w:val="00BA6980"/>
    <w:rsid w:val="00BA7015"/>
    <w:rsid w:val="00BB257B"/>
    <w:rsid w:val="00BC182D"/>
    <w:rsid w:val="00BD0192"/>
    <w:rsid w:val="00BD2C9F"/>
    <w:rsid w:val="00BD2DF7"/>
    <w:rsid w:val="00BE3DBC"/>
    <w:rsid w:val="00BF3847"/>
    <w:rsid w:val="00BF3EB2"/>
    <w:rsid w:val="00BF4B61"/>
    <w:rsid w:val="00BF4DA3"/>
    <w:rsid w:val="00BF7261"/>
    <w:rsid w:val="00C01350"/>
    <w:rsid w:val="00C1417F"/>
    <w:rsid w:val="00C308A0"/>
    <w:rsid w:val="00C34253"/>
    <w:rsid w:val="00C35421"/>
    <w:rsid w:val="00C36D68"/>
    <w:rsid w:val="00C3779F"/>
    <w:rsid w:val="00C40552"/>
    <w:rsid w:val="00C4070A"/>
    <w:rsid w:val="00C42031"/>
    <w:rsid w:val="00C471E6"/>
    <w:rsid w:val="00C51AB2"/>
    <w:rsid w:val="00C55891"/>
    <w:rsid w:val="00C61D49"/>
    <w:rsid w:val="00C659DE"/>
    <w:rsid w:val="00C66C29"/>
    <w:rsid w:val="00C66C4E"/>
    <w:rsid w:val="00C6755A"/>
    <w:rsid w:val="00C8099D"/>
    <w:rsid w:val="00C8515B"/>
    <w:rsid w:val="00C92896"/>
    <w:rsid w:val="00C95F81"/>
    <w:rsid w:val="00CA181D"/>
    <w:rsid w:val="00CA393E"/>
    <w:rsid w:val="00CA6C95"/>
    <w:rsid w:val="00CA6EAC"/>
    <w:rsid w:val="00CB1A17"/>
    <w:rsid w:val="00CB3706"/>
    <w:rsid w:val="00CB4225"/>
    <w:rsid w:val="00CB44F0"/>
    <w:rsid w:val="00CB483A"/>
    <w:rsid w:val="00CB7A59"/>
    <w:rsid w:val="00CC79F1"/>
    <w:rsid w:val="00CD2DDE"/>
    <w:rsid w:val="00CD318C"/>
    <w:rsid w:val="00CD7D25"/>
    <w:rsid w:val="00CF2E68"/>
    <w:rsid w:val="00CF3475"/>
    <w:rsid w:val="00CF34B5"/>
    <w:rsid w:val="00CF35DC"/>
    <w:rsid w:val="00CF418D"/>
    <w:rsid w:val="00D04B0B"/>
    <w:rsid w:val="00D20161"/>
    <w:rsid w:val="00D207F0"/>
    <w:rsid w:val="00D2290F"/>
    <w:rsid w:val="00D23376"/>
    <w:rsid w:val="00D25F31"/>
    <w:rsid w:val="00D3178A"/>
    <w:rsid w:val="00D31C0D"/>
    <w:rsid w:val="00D42760"/>
    <w:rsid w:val="00D504DD"/>
    <w:rsid w:val="00D5158B"/>
    <w:rsid w:val="00D51C7D"/>
    <w:rsid w:val="00D522D7"/>
    <w:rsid w:val="00D52FB8"/>
    <w:rsid w:val="00D6199E"/>
    <w:rsid w:val="00D64271"/>
    <w:rsid w:val="00D64EA1"/>
    <w:rsid w:val="00D73CD3"/>
    <w:rsid w:val="00D75D42"/>
    <w:rsid w:val="00D77E2E"/>
    <w:rsid w:val="00D8001D"/>
    <w:rsid w:val="00D90E78"/>
    <w:rsid w:val="00D91473"/>
    <w:rsid w:val="00DA260E"/>
    <w:rsid w:val="00DA3A9B"/>
    <w:rsid w:val="00DA5AEC"/>
    <w:rsid w:val="00DA6E9F"/>
    <w:rsid w:val="00DB03F0"/>
    <w:rsid w:val="00DB4B65"/>
    <w:rsid w:val="00DC50A7"/>
    <w:rsid w:val="00DD32A0"/>
    <w:rsid w:val="00DE15F5"/>
    <w:rsid w:val="00DE2692"/>
    <w:rsid w:val="00DE2DC6"/>
    <w:rsid w:val="00DF3DD0"/>
    <w:rsid w:val="00DF4FD0"/>
    <w:rsid w:val="00DF6168"/>
    <w:rsid w:val="00E00FFA"/>
    <w:rsid w:val="00E0679C"/>
    <w:rsid w:val="00E12530"/>
    <w:rsid w:val="00E1262C"/>
    <w:rsid w:val="00E15073"/>
    <w:rsid w:val="00E16D4F"/>
    <w:rsid w:val="00E16F81"/>
    <w:rsid w:val="00E25662"/>
    <w:rsid w:val="00E32EAA"/>
    <w:rsid w:val="00E374F5"/>
    <w:rsid w:val="00E4046D"/>
    <w:rsid w:val="00E41516"/>
    <w:rsid w:val="00E432D4"/>
    <w:rsid w:val="00E43EDB"/>
    <w:rsid w:val="00E54743"/>
    <w:rsid w:val="00E561AE"/>
    <w:rsid w:val="00E62171"/>
    <w:rsid w:val="00E668B8"/>
    <w:rsid w:val="00E66C33"/>
    <w:rsid w:val="00E678E6"/>
    <w:rsid w:val="00E75012"/>
    <w:rsid w:val="00E81811"/>
    <w:rsid w:val="00E81A79"/>
    <w:rsid w:val="00E91D09"/>
    <w:rsid w:val="00E932B8"/>
    <w:rsid w:val="00EA4F40"/>
    <w:rsid w:val="00EA526D"/>
    <w:rsid w:val="00EB04DB"/>
    <w:rsid w:val="00EB0FF3"/>
    <w:rsid w:val="00EC046B"/>
    <w:rsid w:val="00EC0ED4"/>
    <w:rsid w:val="00EC17E3"/>
    <w:rsid w:val="00EC535C"/>
    <w:rsid w:val="00ED1E7A"/>
    <w:rsid w:val="00ED4457"/>
    <w:rsid w:val="00ED6ACE"/>
    <w:rsid w:val="00EE2F09"/>
    <w:rsid w:val="00EF0AC8"/>
    <w:rsid w:val="00EF72D6"/>
    <w:rsid w:val="00F011BB"/>
    <w:rsid w:val="00F02BC6"/>
    <w:rsid w:val="00F0745D"/>
    <w:rsid w:val="00F1254E"/>
    <w:rsid w:val="00F164F7"/>
    <w:rsid w:val="00F16F98"/>
    <w:rsid w:val="00F24778"/>
    <w:rsid w:val="00F3310C"/>
    <w:rsid w:val="00F412E0"/>
    <w:rsid w:val="00F43118"/>
    <w:rsid w:val="00F44ABE"/>
    <w:rsid w:val="00F50230"/>
    <w:rsid w:val="00F52AF5"/>
    <w:rsid w:val="00F61D1E"/>
    <w:rsid w:val="00F641BF"/>
    <w:rsid w:val="00F6531B"/>
    <w:rsid w:val="00F655E5"/>
    <w:rsid w:val="00F65A9C"/>
    <w:rsid w:val="00F70E86"/>
    <w:rsid w:val="00F740B6"/>
    <w:rsid w:val="00F74A44"/>
    <w:rsid w:val="00F75793"/>
    <w:rsid w:val="00F87266"/>
    <w:rsid w:val="00F96244"/>
    <w:rsid w:val="00FA2751"/>
    <w:rsid w:val="00FA3C89"/>
    <w:rsid w:val="00FA5AA7"/>
    <w:rsid w:val="00FC4DFD"/>
    <w:rsid w:val="00FE5B0F"/>
    <w:rsid w:val="00FF2E68"/>
    <w:rsid w:val="00FF46B7"/>
    <w:rsid w:val="00FF4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99A2FAA-B16A-4E7A-B7C0-56335459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2C0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jc w:val="center"/>
    </w:pPr>
    <w:rPr>
      <w:spacing w:val="-3"/>
      <w:lang w:val="es"/>
    </w:rPr>
  </w:style>
  <w:style w:type="paragraph" w:styleId="Encabezado">
    <w:name w:val="header"/>
    <w:basedOn w:val="Normal"/>
    <w:pPr>
      <w:tabs>
        <w:tab w:val="center" w:pos="4320"/>
        <w:tab w:val="right" w:pos="8640"/>
      </w:tabs>
      <w:jc w:val="both"/>
    </w:pPr>
    <w:rPr>
      <w:sz w:val="20"/>
      <w:szCs w:val="20"/>
      <w:lang w:val="es"/>
    </w:rPr>
  </w:style>
  <w:style w:type="character" w:customStyle="1" w:styleId="EncabezadoCar">
    <w:name w:val="Encabezado Car"/>
    <w:rPr>
      <w:rFonts w:ascii="Arial" w:eastAsia="Times New Roman" w:hAnsi="Arial" w:cs="Times New Roman"/>
      <w:sz w:val="20"/>
      <w:szCs w:val="20"/>
      <w:lang w:val="es" w:eastAsia="es-ES"/>
    </w:rPr>
  </w:style>
  <w:style w:type="paragraph" w:customStyle="1" w:styleId="Textodenotaalfinal">
    <w:name w:val="Texto de nota al final"/>
    <w:basedOn w:val="Normal"/>
    <w:pPr>
      <w:widowControl w:val="0"/>
      <w:autoSpaceDE w:val="0"/>
    </w:pPr>
    <w:rPr>
      <w:rFonts w:ascii="Courier New" w:hAnsi="Courier New"/>
    </w:rPr>
  </w:style>
  <w:style w:type="character" w:styleId="Nmerodepgina">
    <w:name w:val="page number"/>
    <w:basedOn w:val="Fuentedeprrafopredeter"/>
  </w:style>
  <w:style w:type="paragraph" w:styleId="Piedepgina">
    <w:name w:val="footer"/>
    <w:basedOn w:val="Normal"/>
    <w:pPr>
      <w:tabs>
        <w:tab w:val="center" w:pos="4320"/>
        <w:tab w:val="right" w:pos="8640"/>
      </w:tabs>
      <w:jc w:val="both"/>
    </w:pPr>
    <w:rPr>
      <w:sz w:val="20"/>
      <w:szCs w:val="20"/>
      <w:lang w:val="es"/>
    </w:rPr>
  </w:style>
  <w:style w:type="character" w:customStyle="1" w:styleId="PiedepginaCar">
    <w:name w:val="Pie de página Car"/>
    <w:rPr>
      <w:rFonts w:ascii="Arial" w:eastAsia="Times New Roman" w:hAnsi="Arial" w:cs="Times New Roman"/>
      <w:sz w:val="20"/>
      <w:szCs w:val="20"/>
      <w:lang w:val="es" w:eastAsia="es-ES"/>
    </w:rPr>
  </w:style>
  <w:style w:type="paragraph" w:styleId="NormalWeb">
    <w:name w:val="Normal (Web)"/>
    <w:basedOn w:val="Normal"/>
    <w:uiPriority w:val="99"/>
    <w:pPr>
      <w:spacing w:before="100" w:after="100"/>
    </w:pPr>
    <w:rPr>
      <w:rFonts w:ascii="Times New Roman" w:hAnsi="Times New Roman"/>
      <w:color w:val="663300"/>
      <w:lang w:val="es-CO" w:eastAsia="es-CO"/>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ES" w:eastAsia="es-ES"/>
    </w:rPr>
  </w:style>
  <w:style w:type="character" w:styleId="Refdecomentario">
    <w:name w:val="annotation reference"/>
    <w:uiPriority w:val="99"/>
    <w:rPr>
      <w:sz w:val="16"/>
      <w:szCs w:val="16"/>
    </w:rPr>
  </w:style>
  <w:style w:type="paragraph" w:styleId="Textocomentario">
    <w:name w:val="annotation text"/>
    <w:basedOn w:val="Normal"/>
    <w:uiPriority w:val="99"/>
    <w:rPr>
      <w:sz w:val="20"/>
      <w:szCs w:val="20"/>
    </w:rPr>
  </w:style>
  <w:style w:type="character" w:customStyle="1" w:styleId="TextocomentarioCar">
    <w:name w:val="Texto comentario Car"/>
    <w:uiPriority w:val="99"/>
    <w:rPr>
      <w:rFonts w:ascii="Arial" w:eastAsia="Times New Roman" w:hAnsi="Arial"/>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eastAsia="Times New Roman" w:hAnsi="Arial"/>
      <w:b/>
      <w:bCs/>
      <w:lang w:val="es-ES" w:eastAsia="es-ES"/>
    </w:rPr>
  </w:style>
  <w:style w:type="paragraph" w:styleId="Prrafodelista">
    <w:name w:val="List Paragraph"/>
    <w:basedOn w:val="Normal"/>
    <w:qFormat/>
    <w:pPr>
      <w:ind w:left="720"/>
    </w:pPr>
  </w:style>
  <w:style w:type="paragraph" w:styleId="Revisin">
    <w:name w:val="Revision"/>
    <w:pPr>
      <w:suppressAutoHyphens/>
    </w:pPr>
    <w:rPr>
      <w:rFonts w:ascii="Arial" w:eastAsia="Times New Roman" w:hAnsi="Arial"/>
      <w:sz w:val="24"/>
      <w:szCs w:val="24"/>
      <w:lang w:val="es-ES" w:eastAsia="es-ES"/>
    </w:rPr>
  </w:style>
  <w:style w:type="character" w:customStyle="1" w:styleId="TextonotapieCar">
    <w:name w:val="Texto nota pie Car"/>
    <w:basedOn w:val="Fuentedeprrafopredeter"/>
  </w:style>
  <w:style w:type="paragraph" w:styleId="Textonotapie">
    <w:name w:val="footnote text"/>
    <w:basedOn w:val="Normal"/>
    <w:pPr>
      <w:jc w:val="both"/>
    </w:pPr>
    <w:rPr>
      <w:rFonts w:ascii="Calibri" w:eastAsia="Calibri" w:hAnsi="Calibri"/>
      <w:sz w:val="20"/>
      <w:szCs w:val="20"/>
      <w:lang w:val="es-CO" w:eastAsia="es-CO"/>
    </w:rPr>
  </w:style>
  <w:style w:type="character" w:customStyle="1" w:styleId="TextonotapieCar1">
    <w:name w:val="Texto nota pie Car1"/>
    <w:basedOn w:val="Fuentedeprrafopredeter"/>
    <w:rPr>
      <w:rFonts w:ascii="Arial" w:eastAsia="Times New Roman" w:hAnsi="Arial"/>
      <w:lang w:val="es-ES" w:eastAsia="es-ES"/>
    </w:rPr>
  </w:style>
  <w:style w:type="character" w:customStyle="1" w:styleId="SinespaciadoCar">
    <w:name w:val="Sin espaciado Car"/>
    <w:basedOn w:val="Fuentedeprrafopredeter"/>
    <w:rPr>
      <w:rFonts w:ascii="PMingLiU" w:eastAsia="PMingLiU" w:hAnsi="PMingLiU"/>
    </w:rPr>
  </w:style>
  <w:style w:type="paragraph" w:styleId="Sinespaciado">
    <w:name w:val="No Spacing"/>
    <w:basedOn w:val="Normal"/>
    <w:pPr>
      <w:jc w:val="both"/>
    </w:pPr>
    <w:rPr>
      <w:rFonts w:ascii="PMingLiU" w:eastAsia="PMingLiU" w:hAnsi="PMingLiU"/>
      <w:sz w:val="20"/>
      <w:szCs w:val="20"/>
      <w:lang w:val="es-CO" w:eastAsia="es-CO"/>
    </w:rPr>
  </w:style>
  <w:style w:type="character" w:customStyle="1" w:styleId="PrrafodelistaCar">
    <w:name w:val="Párrafo de lista Car"/>
    <w:basedOn w:val="Fuentedeprrafopredeter"/>
    <w:rPr>
      <w:rFonts w:ascii="Arial" w:eastAsia="Times New Roman" w:hAnsi="Arial"/>
      <w:sz w:val="24"/>
      <w:szCs w:val="24"/>
      <w:lang w:val="es-ES" w:eastAsia="es-ES"/>
    </w:rPr>
  </w:style>
  <w:style w:type="character" w:customStyle="1" w:styleId="Refdenotaalpie2">
    <w:name w:val="Ref. de nota al pie2"/>
    <w:basedOn w:val="Fuentedeprrafopredeter"/>
    <w:rPr>
      <w:position w:val="0"/>
      <w:vertAlign w:val="superscript"/>
    </w:rPr>
  </w:style>
  <w:style w:type="character" w:customStyle="1" w:styleId="apple-converted-space">
    <w:name w:val="apple-converted-space"/>
    <w:basedOn w:val="Fuentedeprrafopredeter"/>
  </w:style>
  <w:style w:type="paragraph" w:customStyle="1" w:styleId="centrado">
    <w:name w:val="centrado"/>
    <w:basedOn w:val="Normal"/>
    <w:rsid w:val="00950B9B"/>
    <w:pPr>
      <w:suppressAutoHyphens w:val="0"/>
      <w:autoSpaceDN/>
      <w:spacing w:before="100" w:beforeAutospacing="1" w:after="100" w:afterAutospacing="1" w:line="270" w:lineRule="atLeast"/>
      <w:jc w:val="center"/>
      <w:textAlignment w:val="auto"/>
    </w:pPr>
    <w:rPr>
      <w:rFonts w:cs="Arial"/>
      <w:sz w:val="18"/>
      <w:szCs w:val="18"/>
      <w:lang w:val="es-CO" w:eastAsia="es-CO"/>
    </w:rPr>
  </w:style>
  <w:style w:type="character" w:customStyle="1" w:styleId="baj1">
    <w:name w:val="b_aj1"/>
    <w:basedOn w:val="Fuentedeprrafopredeter"/>
    <w:rsid w:val="00950B9B"/>
    <w:rPr>
      <w:b/>
      <w:bCs/>
      <w:color w:val="000000"/>
    </w:rPr>
  </w:style>
  <w:style w:type="character" w:customStyle="1" w:styleId="Ttulo1Car">
    <w:name w:val="Título 1 Car"/>
    <w:basedOn w:val="Fuentedeprrafopredeter"/>
    <w:link w:val="Ttulo1"/>
    <w:uiPriority w:val="9"/>
    <w:rsid w:val="002C0C64"/>
    <w:rPr>
      <w:rFonts w:asciiTheme="majorHAnsi" w:eastAsiaTheme="majorEastAsia" w:hAnsiTheme="majorHAnsi" w:cstheme="majorBidi"/>
      <w:b/>
      <w:bCs/>
      <w:color w:val="365F91" w:themeColor="accent1" w:themeShade="BF"/>
      <w:sz w:val="28"/>
      <w:szCs w:val="28"/>
      <w:lang w:val="es-ES" w:eastAsia="es-ES"/>
    </w:rPr>
  </w:style>
  <w:style w:type="character" w:styleId="nfasis">
    <w:name w:val="Emphasis"/>
    <w:basedOn w:val="Fuentedeprrafopredeter"/>
    <w:uiPriority w:val="20"/>
    <w:qFormat/>
    <w:rsid w:val="00412118"/>
    <w:rPr>
      <w:i/>
      <w:iCs/>
    </w:rPr>
  </w:style>
  <w:style w:type="character" w:styleId="Ttulodellibro">
    <w:name w:val="Book Title"/>
    <w:basedOn w:val="Fuentedeprrafopredeter"/>
    <w:uiPriority w:val="33"/>
    <w:qFormat/>
    <w:rsid w:val="00333B4E"/>
    <w:rPr>
      <w:b/>
      <w:bCs/>
      <w:smallCaps/>
      <w:spacing w:val="5"/>
    </w:rPr>
  </w:style>
  <w:style w:type="character" w:styleId="Referenciaintensa">
    <w:name w:val="Intense Reference"/>
    <w:basedOn w:val="Fuentedeprrafopredeter"/>
    <w:uiPriority w:val="32"/>
    <w:qFormat/>
    <w:rsid w:val="00333B4E"/>
    <w:rPr>
      <w:b/>
      <w:bCs/>
      <w:smallCaps/>
      <w:color w:val="C0504D" w:themeColor="accent2"/>
      <w:spacing w:val="5"/>
      <w:u w:val="single"/>
    </w:rPr>
  </w:style>
  <w:style w:type="character" w:styleId="Referenciasutil">
    <w:name w:val="Subtle Reference"/>
    <w:basedOn w:val="Fuentedeprrafopredeter"/>
    <w:uiPriority w:val="31"/>
    <w:qFormat/>
    <w:rsid w:val="00333B4E"/>
    <w:rPr>
      <w:smallCaps/>
      <w:color w:val="C0504D" w:themeColor="accent2"/>
      <w:u w:val="single"/>
    </w:rPr>
  </w:style>
  <w:style w:type="character" w:styleId="Textoennegrita">
    <w:name w:val="Strong"/>
    <w:basedOn w:val="Fuentedeprrafopredeter"/>
    <w:uiPriority w:val="22"/>
    <w:qFormat/>
    <w:rsid w:val="00AD0528"/>
    <w:rPr>
      <w:b/>
      <w:bCs/>
    </w:rPr>
  </w:style>
  <w:style w:type="character" w:styleId="Hipervnculo">
    <w:name w:val="Hyperlink"/>
    <w:basedOn w:val="Fuentedeprrafopredeter"/>
    <w:uiPriority w:val="99"/>
    <w:unhideWhenUsed/>
    <w:rsid w:val="009A5141"/>
    <w:rPr>
      <w:color w:val="0000FF" w:themeColor="hyperlink"/>
      <w:u w:val="single"/>
    </w:rPr>
  </w:style>
  <w:style w:type="paragraph" w:customStyle="1" w:styleId="Default">
    <w:name w:val="Default"/>
    <w:rsid w:val="0050417E"/>
    <w:pPr>
      <w:autoSpaceDE w:val="0"/>
      <w:adjustRightInd w:val="0"/>
      <w:textAlignment w:val="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32539">
      <w:bodyDiv w:val="1"/>
      <w:marLeft w:val="0"/>
      <w:marRight w:val="0"/>
      <w:marTop w:val="0"/>
      <w:marBottom w:val="0"/>
      <w:divBdr>
        <w:top w:val="none" w:sz="0" w:space="0" w:color="auto"/>
        <w:left w:val="none" w:sz="0" w:space="0" w:color="auto"/>
        <w:bottom w:val="none" w:sz="0" w:space="0" w:color="auto"/>
        <w:right w:val="none" w:sz="0" w:space="0" w:color="auto"/>
      </w:divBdr>
    </w:div>
    <w:div w:id="1759986176">
      <w:bodyDiv w:val="1"/>
      <w:marLeft w:val="0"/>
      <w:marRight w:val="0"/>
      <w:marTop w:val="0"/>
      <w:marBottom w:val="0"/>
      <w:divBdr>
        <w:top w:val="none" w:sz="0" w:space="0" w:color="auto"/>
        <w:left w:val="none" w:sz="0" w:space="0" w:color="auto"/>
        <w:bottom w:val="none" w:sz="0" w:space="0" w:color="auto"/>
        <w:right w:val="none" w:sz="0" w:space="0" w:color="auto"/>
      </w:divBdr>
    </w:div>
    <w:div w:id="1804077737">
      <w:bodyDiv w:val="1"/>
      <w:marLeft w:val="0"/>
      <w:marRight w:val="0"/>
      <w:marTop w:val="0"/>
      <w:marBottom w:val="0"/>
      <w:divBdr>
        <w:top w:val="none" w:sz="0" w:space="0" w:color="auto"/>
        <w:left w:val="none" w:sz="0" w:space="0" w:color="auto"/>
        <w:bottom w:val="none" w:sz="0" w:space="0" w:color="auto"/>
        <w:right w:val="none" w:sz="0" w:space="0" w:color="auto"/>
      </w:divBdr>
    </w:div>
    <w:div w:id="1893737631">
      <w:bodyDiv w:val="1"/>
      <w:marLeft w:val="0"/>
      <w:marRight w:val="0"/>
      <w:marTop w:val="0"/>
      <w:marBottom w:val="0"/>
      <w:divBdr>
        <w:top w:val="none" w:sz="0" w:space="0" w:color="auto"/>
        <w:left w:val="none" w:sz="0" w:space="0" w:color="auto"/>
        <w:bottom w:val="none" w:sz="0" w:space="0" w:color="auto"/>
        <w:right w:val="none" w:sz="0" w:space="0" w:color="auto"/>
      </w:divBdr>
    </w:div>
    <w:div w:id="2039312116">
      <w:bodyDiv w:val="1"/>
      <w:marLeft w:val="0"/>
      <w:marRight w:val="0"/>
      <w:marTop w:val="0"/>
      <w:marBottom w:val="0"/>
      <w:divBdr>
        <w:top w:val="none" w:sz="0" w:space="0" w:color="auto"/>
        <w:left w:val="none" w:sz="0" w:space="0" w:color="auto"/>
        <w:bottom w:val="none" w:sz="0" w:space="0" w:color="auto"/>
        <w:right w:val="none" w:sz="0" w:space="0" w:color="auto"/>
      </w:divBdr>
    </w:div>
    <w:div w:id="210988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9E79-5280-462F-9403-AE566741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Silvio Harold Rosero Arce</cp:lastModifiedBy>
  <cp:revision>2</cp:revision>
  <cp:lastPrinted>2016-09-07T23:13:00Z</cp:lastPrinted>
  <dcterms:created xsi:type="dcterms:W3CDTF">2017-06-20T22:53:00Z</dcterms:created>
  <dcterms:modified xsi:type="dcterms:W3CDTF">2017-06-20T22:53:00Z</dcterms:modified>
</cp:coreProperties>
</file>