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57391" w14:textId="77777777" w:rsidR="001F2004" w:rsidRPr="009F548C" w:rsidRDefault="001F2004" w:rsidP="00847D93">
      <w:pPr>
        <w:ind w:right="-106"/>
        <w:jc w:val="center"/>
        <w:rPr>
          <w:rFonts w:cs="Arial"/>
          <w:b/>
          <w:sz w:val="22"/>
          <w:szCs w:val="22"/>
        </w:rPr>
      </w:pPr>
      <w:r w:rsidRPr="009F548C">
        <w:rPr>
          <w:rFonts w:cs="Arial"/>
          <w:b/>
          <w:sz w:val="22"/>
          <w:szCs w:val="22"/>
        </w:rPr>
        <w:t>RESOLUCIÓN No.</w:t>
      </w:r>
    </w:p>
    <w:p w14:paraId="382F5D3D" w14:textId="77777777" w:rsidR="001F2004" w:rsidRPr="009F548C" w:rsidRDefault="003E16E2" w:rsidP="00C44643">
      <w:pPr>
        <w:ind w:right="-106"/>
        <w:jc w:val="center"/>
        <w:rPr>
          <w:rFonts w:cs="Arial"/>
          <w:sz w:val="22"/>
          <w:szCs w:val="22"/>
        </w:rPr>
      </w:pPr>
      <w:r w:rsidRPr="009F548C">
        <w:rPr>
          <w:rFonts w:cs="Arial"/>
          <w:sz w:val="22"/>
          <w:szCs w:val="22"/>
        </w:rPr>
        <w:t>(                                        )</w:t>
      </w:r>
    </w:p>
    <w:p w14:paraId="0C18C5A7" w14:textId="77777777" w:rsidR="001F2004" w:rsidRPr="009F548C" w:rsidRDefault="001F2004" w:rsidP="00BA7E53">
      <w:pPr>
        <w:ind w:right="-106"/>
        <w:jc w:val="both"/>
        <w:rPr>
          <w:rFonts w:cs="Arial"/>
          <w:sz w:val="22"/>
          <w:szCs w:val="22"/>
        </w:rPr>
      </w:pPr>
    </w:p>
    <w:p w14:paraId="2D635F00" w14:textId="77777777" w:rsidR="001F2004" w:rsidRPr="009F548C" w:rsidRDefault="00117CC1" w:rsidP="00C44643">
      <w:pPr>
        <w:pStyle w:val="Textoindependiente21"/>
        <w:ind w:right="-108"/>
        <w:rPr>
          <w:rFonts w:cs="Arial"/>
          <w:sz w:val="22"/>
          <w:szCs w:val="22"/>
          <w:lang w:val="es-ES"/>
        </w:rPr>
      </w:pPr>
      <w:r w:rsidRPr="009F548C">
        <w:rPr>
          <w:rFonts w:cs="Arial"/>
          <w:sz w:val="22"/>
          <w:szCs w:val="22"/>
          <w:lang w:val="es-ES"/>
        </w:rPr>
        <w:t>&lt;&lt;</w:t>
      </w:r>
      <w:r w:rsidR="001F2004" w:rsidRPr="009F548C">
        <w:rPr>
          <w:rFonts w:cs="Arial"/>
          <w:sz w:val="22"/>
          <w:szCs w:val="22"/>
          <w:lang w:val="es-ES"/>
        </w:rPr>
        <w:t>Por la cual se</w:t>
      </w:r>
      <w:r w:rsidR="00714194" w:rsidRPr="009F548C">
        <w:rPr>
          <w:rFonts w:cs="Arial"/>
          <w:sz w:val="22"/>
          <w:szCs w:val="22"/>
          <w:lang w:val="es-ES"/>
        </w:rPr>
        <w:t xml:space="preserve"> modifica la resolución 21292 de 2016 y se dictan otras disposiciones</w:t>
      </w:r>
      <w:r w:rsidRPr="009F548C">
        <w:rPr>
          <w:rFonts w:cs="Arial"/>
          <w:sz w:val="22"/>
          <w:szCs w:val="22"/>
          <w:lang w:val="es-ES"/>
        </w:rPr>
        <w:t>&gt;&gt;</w:t>
      </w:r>
    </w:p>
    <w:p w14:paraId="584059D7" w14:textId="6AE3F41F" w:rsidR="001F2004" w:rsidRPr="009F548C" w:rsidRDefault="001F2004" w:rsidP="00BA7E53">
      <w:pPr>
        <w:autoSpaceDE w:val="0"/>
        <w:autoSpaceDN w:val="0"/>
        <w:adjustRightInd w:val="0"/>
        <w:ind w:right="-106"/>
        <w:jc w:val="both"/>
        <w:rPr>
          <w:rFonts w:cs="Arial"/>
          <w:sz w:val="22"/>
          <w:szCs w:val="22"/>
        </w:rPr>
      </w:pPr>
    </w:p>
    <w:p w14:paraId="37C37AF3" w14:textId="77777777" w:rsidR="001F2004" w:rsidRPr="009F548C" w:rsidRDefault="00714194" w:rsidP="00C44643">
      <w:pPr>
        <w:autoSpaceDE w:val="0"/>
        <w:autoSpaceDN w:val="0"/>
        <w:adjustRightInd w:val="0"/>
        <w:ind w:right="-108"/>
        <w:jc w:val="center"/>
        <w:rPr>
          <w:rFonts w:cs="Arial"/>
          <w:b/>
          <w:sz w:val="22"/>
          <w:szCs w:val="22"/>
        </w:rPr>
      </w:pPr>
      <w:r w:rsidRPr="009F548C">
        <w:rPr>
          <w:rFonts w:cs="Arial"/>
          <w:b/>
          <w:sz w:val="22"/>
          <w:szCs w:val="22"/>
        </w:rPr>
        <w:t>LA MINISTRA</w:t>
      </w:r>
      <w:r w:rsidR="001C5BDA" w:rsidRPr="009F548C">
        <w:rPr>
          <w:rFonts w:cs="Arial"/>
          <w:b/>
          <w:sz w:val="22"/>
          <w:szCs w:val="22"/>
        </w:rPr>
        <w:t xml:space="preserve"> DE EDUCACIÓN </w:t>
      </w:r>
      <w:r w:rsidR="001F2004" w:rsidRPr="009F548C">
        <w:rPr>
          <w:rFonts w:cs="Arial"/>
          <w:b/>
          <w:sz w:val="22"/>
          <w:szCs w:val="22"/>
        </w:rPr>
        <w:t>NACIONAL</w:t>
      </w:r>
      <w:r w:rsidR="009D25AF" w:rsidRPr="009F548C">
        <w:rPr>
          <w:rFonts w:cs="Arial"/>
          <w:b/>
          <w:sz w:val="22"/>
          <w:szCs w:val="22"/>
        </w:rPr>
        <w:t xml:space="preserve"> </w:t>
      </w:r>
    </w:p>
    <w:p w14:paraId="698F6DAE" w14:textId="77777777" w:rsidR="009F548C" w:rsidRPr="009F548C" w:rsidRDefault="009F548C" w:rsidP="00BA7E53">
      <w:pPr>
        <w:autoSpaceDE w:val="0"/>
        <w:autoSpaceDN w:val="0"/>
        <w:adjustRightInd w:val="0"/>
        <w:ind w:right="-108"/>
        <w:jc w:val="both"/>
        <w:rPr>
          <w:rFonts w:cs="Arial"/>
          <w:b/>
          <w:sz w:val="22"/>
          <w:szCs w:val="22"/>
        </w:rPr>
      </w:pPr>
    </w:p>
    <w:p w14:paraId="6D3F7BB0" w14:textId="77777777" w:rsidR="001F2004" w:rsidRPr="009F548C" w:rsidRDefault="001F2004" w:rsidP="00C44643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9F548C">
        <w:rPr>
          <w:rFonts w:cs="Arial"/>
          <w:sz w:val="22"/>
          <w:szCs w:val="22"/>
        </w:rPr>
        <w:t>En ejercicio de las facultades constitucionales y legales, en especial de las conferidas por el parágrafo del artículo</w:t>
      </w:r>
      <w:r w:rsidR="00122A55" w:rsidRPr="009F548C">
        <w:rPr>
          <w:rFonts w:cs="Arial"/>
          <w:sz w:val="22"/>
          <w:szCs w:val="22"/>
        </w:rPr>
        <w:t xml:space="preserve"> </w:t>
      </w:r>
      <w:r w:rsidRPr="009F548C">
        <w:rPr>
          <w:rFonts w:cs="Arial"/>
          <w:sz w:val="22"/>
          <w:szCs w:val="22"/>
        </w:rPr>
        <w:t>35 del Decreto Ley 1278 de 2002</w:t>
      </w:r>
      <w:r w:rsidR="005F6A89" w:rsidRPr="009F548C">
        <w:rPr>
          <w:rFonts w:cs="Arial"/>
          <w:sz w:val="22"/>
          <w:szCs w:val="22"/>
        </w:rPr>
        <w:t xml:space="preserve">, </w:t>
      </w:r>
      <w:r w:rsidR="00A40FB9" w:rsidRPr="009F548C">
        <w:rPr>
          <w:rFonts w:cs="Arial"/>
          <w:sz w:val="22"/>
          <w:szCs w:val="22"/>
        </w:rPr>
        <w:t xml:space="preserve">en </w:t>
      </w:r>
      <w:r w:rsidR="00793E62" w:rsidRPr="009F548C">
        <w:rPr>
          <w:rFonts w:cs="Arial"/>
          <w:sz w:val="22"/>
          <w:szCs w:val="22"/>
        </w:rPr>
        <w:t>e</w:t>
      </w:r>
      <w:r w:rsidR="005F6A89" w:rsidRPr="009F548C">
        <w:rPr>
          <w:rFonts w:cs="Arial"/>
          <w:sz w:val="22"/>
          <w:szCs w:val="22"/>
        </w:rPr>
        <w:t>l</w:t>
      </w:r>
      <w:r w:rsidR="00A40FB9" w:rsidRPr="009F548C">
        <w:rPr>
          <w:rFonts w:cs="Arial"/>
          <w:sz w:val="22"/>
          <w:szCs w:val="22"/>
        </w:rPr>
        <w:t xml:space="preserve"> artículo </w:t>
      </w:r>
      <w:r w:rsidR="00850E12" w:rsidRPr="009F548C">
        <w:rPr>
          <w:rFonts w:cs="Arial"/>
          <w:sz w:val="22"/>
          <w:szCs w:val="22"/>
        </w:rPr>
        <w:t xml:space="preserve">2.4.1.4.3.2 </w:t>
      </w:r>
      <w:r w:rsidR="00714194" w:rsidRPr="009F548C">
        <w:rPr>
          <w:rFonts w:cs="Arial"/>
          <w:sz w:val="22"/>
          <w:szCs w:val="22"/>
        </w:rPr>
        <w:t>del Decreto 1075 de 2015</w:t>
      </w:r>
      <w:r w:rsidR="005F6A89" w:rsidRPr="009F548C">
        <w:rPr>
          <w:rFonts w:cs="Arial"/>
          <w:sz w:val="22"/>
          <w:szCs w:val="22"/>
        </w:rPr>
        <w:t>, y</w:t>
      </w:r>
    </w:p>
    <w:p w14:paraId="6FE6A3D2" w14:textId="148D7575" w:rsidR="009F548C" w:rsidRPr="009F548C" w:rsidRDefault="009F548C" w:rsidP="00BA7E53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6A02A2EF" w14:textId="7F653A28" w:rsidR="001F2004" w:rsidRPr="009F548C" w:rsidRDefault="001F2004" w:rsidP="009F548C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2"/>
          <w:szCs w:val="22"/>
          <w:lang w:val="es-CO" w:eastAsia="en-US"/>
        </w:rPr>
      </w:pPr>
      <w:r w:rsidRPr="009F548C">
        <w:rPr>
          <w:rFonts w:eastAsiaTheme="minorHAnsi" w:cs="Arial"/>
          <w:b/>
          <w:bCs/>
          <w:sz w:val="22"/>
          <w:szCs w:val="22"/>
          <w:lang w:val="es-CO" w:eastAsia="en-US"/>
        </w:rPr>
        <w:t>CONSIDERANDO</w:t>
      </w:r>
    </w:p>
    <w:p w14:paraId="1F7FCC02" w14:textId="77777777" w:rsidR="009F548C" w:rsidRPr="009F548C" w:rsidRDefault="009F548C" w:rsidP="00C44643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</w:rPr>
      </w:pPr>
    </w:p>
    <w:p w14:paraId="02318903" w14:textId="77777777" w:rsidR="001F2004" w:rsidRPr="009F548C" w:rsidRDefault="001F2004" w:rsidP="00C44643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  <w:lang w:eastAsia="en-US"/>
        </w:rPr>
      </w:pPr>
      <w:r w:rsidRPr="009F548C">
        <w:rPr>
          <w:rFonts w:eastAsiaTheme="minorHAnsi" w:cs="Arial"/>
          <w:sz w:val="22"/>
          <w:szCs w:val="22"/>
          <w:lang w:eastAsia="en-US"/>
        </w:rPr>
        <w:t>Que mediante el Decreto Ley 1278 de 2002 se expidió el Estatuto de Profesionalización Docente, el cual regula las relaciones entre el Estado y los docentes y directivos docentes que prestan sus servicios en las instituciones educativas oficiales de preescolar, básica y media que hacen parte de las entidades territoriales certificadas en educación.</w:t>
      </w:r>
    </w:p>
    <w:p w14:paraId="4161F7EE" w14:textId="77777777" w:rsidR="001F2004" w:rsidRPr="009F548C" w:rsidRDefault="001F2004" w:rsidP="00C44643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  <w:lang w:eastAsia="en-US"/>
        </w:rPr>
      </w:pPr>
    </w:p>
    <w:p w14:paraId="66713602" w14:textId="77777777" w:rsidR="001F2004" w:rsidRPr="009F548C" w:rsidRDefault="001F2004" w:rsidP="00C44643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  <w:lang w:eastAsia="en-US"/>
        </w:rPr>
      </w:pPr>
      <w:r w:rsidRPr="009F548C">
        <w:rPr>
          <w:rFonts w:eastAsiaTheme="minorHAnsi" w:cs="Arial"/>
          <w:sz w:val="22"/>
          <w:szCs w:val="22"/>
          <w:lang w:eastAsia="en-US"/>
        </w:rPr>
        <w:t xml:space="preserve">Que el mencionado Decreto Ley </w:t>
      </w:r>
      <w:r w:rsidR="005F6A89" w:rsidRPr="009F548C">
        <w:rPr>
          <w:rFonts w:eastAsiaTheme="minorHAnsi" w:cs="Arial"/>
          <w:sz w:val="22"/>
          <w:szCs w:val="22"/>
          <w:lang w:eastAsia="en-US"/>
        </w:rPr>
        <w:t xml:space="preserve">consagra </w:t>
      </w:r>
      <w:r w:rsidRPr="009F548C">
        <w:rPr>
          <w:rFonts w:eastAsiaTheme="minorHAnsi" w:cs="Arial"/>
          <w:sz w:val="22"/>
          <w:szCs w:val="22"/>
          <w:lang w:eastAsia="en-US"/>
        </w:rPr>
        <w:t>en su artículo 35</w:t>
      </w:r>
      <w:r w:rsidR="00D04F79" w:rsidRPr="009F548C">
        <w:rPr>
          <w:rFonts w:eastAsiaTheme="minorHAnsi" w:cs="Arial"/>
          <w:sz w:val="22"/>
          <w:szCs w:val="22"/>
          <w:lang w:eastAsia="en-US"/>
        </w:rPr>
        <w:t xml:space="preserve"> </w:t>
      </w:r>
      <w:r w:rsidR="005F4EFE" w:rsidRPr="009F548C">
        <w:rPr>
          <w:rFonts w:eastAsiaTheme="minorHAnsi" w:cs="Arial"/>
          <w:sz w:val="22"/>
          <w:szCs w:val="22"/>
          <w:lang w:eastAsia="en-US"/>
        </w:rPr>
        <w:t>y</w:t>
      </w:r>
      <w:r w:rsidR="00587B45" w:rsidRPr="009F548C">
        <w:rPr>
          <w:rFonts w:eastAsiaTheme="minorHAnsi" w:cs="Arial"/>
          <w:sz w:val="22"/>
          <w:szCs w:val="22"/>
          <w:lang w:eastAsia="en-US"/>
        </w:rPr>
        <w:t xml:space="preserve"> en el numeral 2 del artículo 36</w:t>
      </w:r>
      <w:r w:rsidR="005F4EFE" w:rsidRPr="009F548C">
        <w:rPr>
          <w:rFonts w:eastAsiaTheme="minorHAnsi" w:cs="Arial"/>
          <w:sz w:val="22"/>
          <w:szCs w:val="22"/>
          <w:lang w:eastAsia="en-US"/>
        </w:rPr>
        <w:t xml:space="preserve"> </w:t>
      </w:r>
      <w:r w:rsidRPr="009F548C">
        <w:rPr>
          <w:rFonts w:eastAsiaTheme="minorHAnsi" w:cs="Arial"/>
          <w:sz w:val="22"/>
          <w:szCs w:val="22"/>
          <w:lang w:eastAsia="en-US"/>
        </w:rPr>
        <w:t>la Evaluación de Competencias</w:t>
      </w:r>
      <w:r w:rsidR="00D04F79" w:rsidRPr="009F548C">
        <w:rPr>
          <w:rFonts w:eastAsiaTheme="minorHAnsi" w:cs="Arial"/>
          <w:sz w:val="22"/>
          <w:szCs w:val="22"/>
          <w:lang w:eastAsia="en-US"/>
        </w:rPr>
        <w:t xml:space="preserve"> </w:t>
      </w:r>
      <w:r w:rsidR="005F6A89" w:rsidRPr="009F548C">
        <w:rPr>
          <w:rFonts w:eastAsiaTheme="minorHAnsi" w:cs="Arial"/>
          <w:sz w:val="22"/>
          <w:szCs w:val="22"/>
          <w:lang w:eastAsia="en-US"/>
        </w:rPr>
        <w:t xml:space="preserve">como el mecanismo voluntario que </w:t>
      </w:r>
      <w:r w:rsidR="00587B45" w:rsidRPr="009F548C">
        <w:rPr>
          <w:rFonts w:eastAsiaTheme="minorHAnsi" w:cs="Arial"/>
          <w:sz w:val="22"/>
          <w:szCs w:val="22"/>
          <w:lang w:eastAsia="en-US"/>
        </w:rPr>
        <w:t>evalúa</w:t>
      </w:r>
      <w:r w:rsidR="00D04F79" w:rsidRPr="009F548C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="005F4EFE" w:rsidRPr="009F548C">
        <w:rPr>
          <w:rFonts w:cs="Arial"/>
          <w:color w:val="000000"/>
          <w:sz w:val="22"/>
          <w:szCs w:val="22"/>
          <w:shd w:val="clear" w:color="auto" w:fill="FFFFFF"/>
        </w:rPr>
        <w:t xml:space="preserve">la práctica </w:t>
      </w:r>
      <w:r w:rsidR="00587B45" w:rsidRPr="009F548C">
        <w:rPr>
          <w:rFonts w:cs="Arial"/>
          <w:color w:val="000000"/>
          <w:sz w:val="22"/>
          <w:szCs w:val="22"/>
          <w:shd w:val="clear" w:color="auto" w:fill="FFFFFF"/>
        </w:rPr>
        <w:t xml:space="preserve">educativa y </w:t>
      </w:r>
      <w:r w:rsidR="005F4EFE" w:rsidRPr="009F548C">
        <w:rPr>
          <w:rFonts w:cs="Arial"/>
          <w:color w:val="000000"/>
          <w:sz w:val="22"/>
          <w:szCs w:val="22"/>
          <w:shd w:val="clear" w:color="auto" w:fill="FFFFFF"/>
        </w:rPr>
        <w:t xml:space="preserve">pedagógica </w:t>
      </w:r>
      <w:r w:rsidR="005F6A89" w:rsidRPr="009F548C">
        <w:rPr>
          <w:rFonts w:cs="Arial"/>
          <w:color w:val="000000"/>
          <w:sz w:val="22"/>
          <w:szCs w:val="22"/>
          <w:shd w:val="clear" w:color="auto" w:fill="FFFFFF"/>
        </w:rPr>
        <w:t xml:space="preserve">por los educadores oficiales </w:t>
      </w:r>
      <w:r w:rsidR="00D04F79" w:rsidRPr="009F548C">
        <w:rPr>
          <w:rFonts w:cs="Arial"/>
          <w:color w:val="000000"/>
          <w:sz w:val="22"/>
          <w:szCs w:val="22"/>
          <w:shd w:val="clear" w:color="auto" w:fill="FFFFFF"/>
        </w:rPr>
        <w:t xml:space="preserve">en </w:t>
      </w:r>
      <w:r w:rsidR="005F6A89" w:rsidRPr="009F548C">
        <w:rPr>
          <w:rFonts w:cs="Arial"/>
          <w:color w:val="000000"/>
          <w:sz w:val="22"/>
          <w:szCs w:val="22"/>
          <w:shd w:val="clear" w:color="auto" w:fill="FFFFFF"/>
        </w:rPr>
        <w:t>s</w:t>
      </w:r>
      <w:r w:rsidR="00D04F79" w:rsidRPr="009F548C">
        <w:rPr>
          <w:rFonts w:cs="Arial"/>
          <w:color w:val="000000"/>
          <w:sz w:val="22"/>
          <w:szCs w:val="22"/>
          <w:shd w:val="clear" w:color="auto" w:fill="FFFFFF"/>
        </w:rPr>
        <w:t>u puesto de trabajo</w:t>
      </w:r>
      <w:r w:rsidR="005F6A89" w:rsidRPr="009F548C">
        <w:rPr>
          <w:rFonts w:cs="Arial"/>
          <w:color w:val="000000"/>
          <w:sz w:val="22"/>
          <w:szCs w:val="22"/>
          <w:shd w:val="clear" w:color="auto" w:fill="FFFFFF"/>
        </w:rPr>
        <w:t>, con el fin de lograr su ascenso de grado o reubi</w:t>
      </w:r>
      <w:r w:rsidR="009D25AF" w:rsidRPr="009F548C">
        <w:rPr>
          <w:rFonts w:cs="Arial"/>
          <w:color w:val="000000"/>
          <w:sz w:val="22"/>
          <w:szCs w:val="22"/>
          <w:shd w:val="clear" w:color="auto" w:fill="FFFFFF"/>
        </w:rPr>
        <w:t>cación en el Escalafón Docente.</w:t>
      </w:r>
    </w:p>
    <w:p w14:paraId="2031E5B0" w14:textId="77777777" w:rsidR="00374385" w:rsidRPr="009F548C" w:rsidRDefault="00374385" w:rsidP="00C44643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  <w:lang w:val="es-ES_tradnl" w:eastAsia="en-US"/>
        </w:rPr>
      </w:pPr>
    </w:p>
    <w:p w14:paraId="35454730" w14:textId="02814C82" w:rsidR="00810E9E" w:rsidRPr="009F548C" w:rsidRDefault="00810E9E" w:rsidP="00C44643">
      <w:pPr>
        <w:autoSpaceDE w:val="0"/>
        <w:autoSpaceDN w:val="0"/>
        <w:adjustRightInd w:val="0"/>
        <w:jc w:val="both"/>
        <w:rPr>
          <w:rFonts w:eastAsia="Batang" w:cs="Arial"/>
          <w:bCs/>
          <w:sz w:val="22"/>
          <w:szCs w:val="22"/>
          <w:lang w:val="es-ES_tradnl"/>
        </w:rPr>
      </w:pPr>
      <w:r w:rsidRPr="009F548C">
        <w:rPr>
          <w:rFonts w:eastAsiaTheme="minorHAnsi" w:cs="Arial"/>
          <w:sz w:val="22"/>
          <w:szCs w:val="22"/>
          <w:lang w:eastAsia="en-US"/>
        </w:rPr>
        <w:t xml:space="preserve">Que el Decreto 1657 de 2016, adicionado al Decreto 1075 de 2015, subrogó </w:t>
      </w:r>
      <w:r w:rsidRPr="009F548C">
        <w:rPr>
          <w:rFonts w:eastAsia="Batang" w:cs="Arial"/>
          <w:bCs/>
          <w:sz w:val="22"/>
          <w:szCs w:val="22"/>
          <w:lang w:val="es-ES_tradnl"/>
        </w:rPr>
        <w:t>las secciones 1, 2, 3 y 4 del Capítulo 4, Título 1, Part</w:t>
      </w:r>
      <w:r w:rsidR="00847D93">
        <w:rPr>
          <w:rFonts w:eastAsia="Batang" w:cs="Arial"/>
          <w:bCs/>
          <w:sz w:val="22"/>
          <w:szCs w:val="22"/>
          <w:lang w:val="es-ES_tradnl"/>
        </w:rPr>
        <w:t xml:space="preserve">e 4, Libro 2, del Decreto 1075 </w:t>
      </w:r>
      <w:r w:rsidRPr="009F548C">
        <w:rPr>
          <w:rFonts w:eastAsia="Batang" w:cs="Arial"/>
          <w:bCs/>
          <w:sz w:val="22"/>
          <w:szCs w:val="22"/>
          <w:lang w:val="es-ES_tradnl"/>
        </w:rPr>
        <w:t>en donde se reguló la evaluación de la que trata el artículo 35</w:t>
      </w:r>
      <w:r w:rsidR="00A40FB9" w:rsidRPr="009F548C">
        <w:rPr>
          <w:rFonts w:eastAsia="Batang" w:cs="Arial"/>
          <w:bCs/>
          <w:sz w:val="22"/>
          <w:szCs w:val="22"/>
          <w:lang w:val="es-ES_tradnl"/>
        </w:rPr>
        <w:t xml:space="preserve"> </w:t>
      </w:r>
      <w:r w:rsidR="00A40FB9" w:rsidRPr="009F548C">
        <w:rPr>
          <w:rFonts w:cs="Arial"/>
          <w:sz w:val="22"/>
          <w:szCs w:val="22"/>
          <w:lang w:val="es-CO"/>
        </w:rPr>
        <w:t>y el numeral 2 del artículo 36</w:t>
      </w:r>
      <w:r w:rsidRPr="009F548C">
        <w:rPr>
          <w:rFonts w:eastAsia="Batang" w:cs="Arial"/>
          <w:bCs/>
          <w:sz w:val="22"/>
          <w:szCs w:val="22"/>
          <w:lang w:val="es-ES_tradnl"/>
        </w:rPr>
        <w:t xml:space="preserve"> del Decreto Ley 1278 de 2002, </w:t>
      </w:r>
      <w:r w:rsidR="00A40FB9" w:rsidRPr="009F548C">
        <w:rPr>
          <w:rFonts w:eastAsia="Batang" w:cs="Arial"/>
          <w:bCs/>
          <w:sz w:val="22"/>
          <w:szCs w:val="22"/>
          <w:lang w:val="es-ES_tradnl"/>
        </w:rPr>
        <w:t>atribuyéndole a la misma un carácter diagnóstico formativo</w:t>
      </w:r>
      <w:r w:rsidR="00405C11" w:rsidRPr="009F548C">
        <w:rPr>
          <w:rFonts w:eastAsia="Batang" w:cs="Arial"/>
          <w:bCs/>
          <w:sz w:val="22"/>
          <w:szCs w:val="22"/>
          <w:lang w:val="es-ES_tradnl"/>
        </w:rPr>
        <w:t>.</w:t>
      </w:r>
    </w:p>
    <w:p w14:paraId="3DC8C365" w14:textId="77777777" w:rsidR="0080220C" w:rsidRPr="009F548C" w:rsidRDefault="0080220C" w:rsidP="00C44643">
      <w:pPr>
        <w:autoSpaceDE w:val="0"/>
        <w:autoSpaceDN w:val="0"/>
        <w:adjustRightInd w:val="0"/>
        <w:jc w:val="both"/>
        <w:rPr>
          <w:rFonts w:eastAsia="Batang" w:cs="Arial"/>
          <w:bCs/>
          <w:sz w:val="22"/>
          <w:szCs w:val="22"/>
          <w:lang w:val="es-ES_tradnl"/>
        </w:rPr>
      </w:pPr>
    </w:p>
    <w:p w14:paraId="59FCD40E" w14:textId="22A2616B" w:rsidR="00955DF9" w:rsidRPr="009F548C" w:rsidRDefault="001F2004" w:rsidP="00405C1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9F548C">
        <w:rPr>
          <w:rFonts w:eastAsiaTheme="minorHAnsi" w:cs="Arial"/>
          <w:sz w:val="22"/>
          <w:szCs w:val="22"/>
          <w:lang w:eastAsia="en-US"/>
        </w:rPr>
        <w:t xml:space="preserve">Que </w:t>
      </w:r>
      <w:r w:rsidR="009B498F" w:rsidRPr="009F548C">
        <w:rPr>
          <w:rFonts w:eastAsiaTheme="minorHAnsi" w:cs="Arial"/>
          <w:sz w:val="22"/>
          <w:szCs w:val="22"/>
          <w:lang w:eastAsia="en-US"/>
        </w:rPr>
        <w:t xml:space="preserve">dentro de </w:t>
      </w:r>
      <w:r w:rsidR="00E120BA" w:rsidRPr="009F548C">
        <w:rPr>
          <w:rFonts w:eastAsiaTheme="minorHAnsi" w:cs="Arial"/>
          <w:sz w:val="22"/>
          <w:szCs w:val="22"/>
          <w:lang w:eastAsia="en-US"/>
        </w:rPr>
        <w:t xml:space="preserve">las responsabilidades dispuestas </w:t>
      </w:r>
      <w:r w:rsidRPr="009F548C">
        <w:rPr>
          <w:rFonts w:eastAsiaTheme="minorHAnsi" w:cs="Arial"/>
          <w:sz w:val="22"/>
          <w:szCs w:val="22"/>
          <w:lang w:eastAsia="en-US"/>
        </w:rPr>
        <w:t xml:space="preserve">en el artículo </w:t>
      </w:r>
      <w:r w:rsidR="00A40FB9" w:rsidRPr="009F548C">
        <w:rPr>
          <w:rFonts w:eastAsia="Batang" w:cs="Arial"/>
          <w:bCs/>
          <w:color w:val="000000"/>
          <w:sz w:val="22"/>
          <w:szCs w:val="22"/>
          <w:lang w:eastAsia="en-US"/>
        </w:rPr>
        <w:t xml:space="preserve">2.4.1.4.2.1 </w:t>
      </w:r>
      <w:r w:rsidR="00E120BA" w:rsidRPr="009F548C">
        <w:rPr>
          <w:rFonts w:eastAsia="Batang" w:cs="Arial"/>
          <w:bCs/>
          <w:color w:val="000000"/>
          <w:sz w:val="22"/>
          <w:szCs w:val="22"/>
          <w:lang w:eastAsia="en-US"/>
        </w:rPr>
        <w:t>del Decreto 1075 de 2015,</w:t>
      </w:r>
      <w:r w:rsidRPr="009F548C">
        <w:rPr>
          <w:rFonts w:eastAsiaTheme="minorHAnsi" w:cs="Arial"/>
          <w:sz w:val="22"/>
          <w:szCs w:val="22"/>
          <w:lang w:eastAsia="en-US"/>
        </w:rPr>
        <w:t xml:space="preserve"> </w:t>
      </w:r>
      <w:r w:rsidR="009B498F" w:rsidRPr="009F548C">
        <w:rPr>
          <w:rFonts w:eastAsiaTheme="minorHAnsi" w:cs="Arial"/>
          <w:sz w:val="22"/>
          <w:szCs w:val="22"/>
          <w:lang w:eastAsia="en-US"/>
        </w:rPr>
        <w:t>a</w:t>
      </w:r>
      <w:r w:rsidRPr="009F548C">
        <w:rPr>
          <w:rFonts w:eastAsiaTheme="minorHAnsi" w:cs="Arial"/>
          <w:sz w:val="22"/>
          <w:szCs w:val="22"/>
          <w:lang w:eastAsia="en-US"/>
        </w:rPr>
        <w:t>l Ministerio de Educación Nacional</w:t>
      </w:r>
      <w:r w:rsidR="009B498F" w:rsidRPr="009F548C">
        <w:rPr>
          <w:rFonts w:eastAsiaTheme="minorHAnsi" w:cs="Arial"/>
          <w:sz w:val="22"/>
          <w:szCs w:val="22"/>
          <w:lang w:eastAsia="en-US"/>
        </w:rPr>
        <w:t xml:space="preserve"> le compete definir el cronograma de la evaluación y en virtud de ello</w:t>
      </w:r>
      <w:r w:rsidR="00955DF9" w:rsidRPr="009F548C">
        <w:rPr>
          <w:rFonts w:eastAsiaTheme="minorHAnsi" w:cs="Arial"/>
          <w:sz w:val="22"/>
          <w:szCs w:val="22"/>
          <w:lang w:eastAsia="en-US"/>
        </w:rPr>
        <w:t xml:space="preserve"> expidió la Resolución No. </w:t>
      </w:r>
      <w:r w:rsidR="00955DF9" w:rsidRPr="009F548C">
        <w:rPr>
          <w:rFonts w:cs="Arial"/>
          <w:sz w:val="22"/>
          <w:szCs w:val="22"/>
        </w:rPr>
        <w:t>21292 de 2016</w:t>
      </w:r>
      <w:r w:rsidR="00955DF9" w:rsidRPr="009F548C">
        <w:rPr>
          <w:rFonts w:cs="Arial"/>
          <w:sz w:val="22"/>
          <w:szCs w:val="22"/>
        </w:rPr>
        <w:t xml:space="preserve"> </w:t>
      </w:r>
      <w:r w:rsidR="00BE6B60" w:rsidRPr="009F548C">
        <w:rPr>
          <w:rFonts w:cs="Arial"/>
          <w:sz w:val="22"/>
          <w:szCs w:val="22"/>
        </w:rPr>
        <w:t>&lt;&lt;</w:t>
      </w:r>
      <w:r w:rsidR="00BE6B60" w:rsidRPr="009F548C">
        <w:rPr>
          <w:rFonts w:cs="Arial"/>
          <w:sz w:val="22"/>
          <w:szCs w:val="22"/>
        </w:rPr>
        <w:t>p</w:t>
      </w:r>
      <w:r w:rsidR="00BE6B60" w:rsidRPr="009F548C">
        <w:rPr>
          <w:rFonts w:cs="Arial"/>
          <w:sz w:val="22"/>
          <w:szCs w:val="22"/>
        </w:rPr>
        <w:t xml:space="preserve">or la cual se establece el cronograma de actividades para el proceso de evaluación de </w:t>
      </w:r>
      <w:r w:rsidR="00BE6B60" w:rsidRPr="009F548C">
        <w:rPr>
          <w:rFonts w:cs="Arial"/>
          <w:sz w:val="22"/>
          <w:szCs w:val="22"/>
          <w:lang w:val="es-CO"/>
        </w:rPr>
        <w:t>que trata el artículo 35 y el numeral 2 del artículo 36 del Decreto Ley 1278 de 2002 para el ascenso de grado o la reubicación nivel salarial de los educadores oficiales regidos por dicha norma</w:t>
      </w:r>
      <w:r w:rsidR="00BE6B60" w:rsidRPr="009F548C">
        <w:rPr>
          <w:rFonts w:cs="Arial"/>
          <w:sz w:val="22"/>
          <w:szCs w:val="22"/>
        </w:rPr>
        <w:t>, y se dictan otras disposiciones&gt;&gt;</w:t>
      </w:r>
      <w:r w:rsidR="00955DF9" w:rsidRPr="009F548C">
        <w:rPr>
          <w:rFonts w:cs="Arial"/>
          <w:sz w:val="22"/>
          <w:szCs w:val="22"/>
        </w:rPr>
        <w:t xml:space="preserve">. </w:t>
      </w:r>
    </w:p>
    <w:p w14:paraId="4A7FFAFF" w14:textId="553AF504" w:rsidR="00BE6B60" w:rsidRPr="009F548C" w:rsidRDefault="00BE6B60" w:rsidP="00405C11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14:paraId="23E6EFE4" w14:textId="30234567" w:rsidR="00405C11" w:rsidRPr="009F548C" w:rsidRDefault="00BE6B60" w:rsidP="00405C11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  <w:lang w:eastAsia="en-US"/>
        </w:rPr>
      </w:pPr>
      <w:r w:rsidRPr="009F548C">
        <w:rPr>
          <w:rFonts w:cs="Arial"/>
          <w:sz w:val="22"/>
          <w:szCs w:val="22"/>
        </w:rPr>
        <w:t>Que con el fin de desarrollar campañas pedagógicas en el uso de la plataforma en la cual se desarrollará la evaluación y aumentar el tiempo para que todos los educadores puedan inscribirse al proceso de evaluación, se hace necesario modificar el cronograma de la evaluación específicamente en la</w:t>
      </w:r>
      <w:r w:rsidR="009F548C" w:rsidRPr="009F548C">
        <w:rPr>
          <w:rFonts w:cs="Arial"/>
          <w:sz w:val="22"/>
          <w:szCs w:val="22"/>
        </w:rPr>
        <w:t xml:space="preserve"> fecha del cierre de las inscripciones. </w:t>
      </w:r>
    </w:p>
    <w:p w14:paraId="6D8DCEAC" w14:textId="77777777" w:rsidR="00E120BA" w:rsidRPr="009F548C" w:rsidRDefault="00E120BA" w:rsidP="00C44643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  <w:lang w:eastAsia="en-US"/>
        </w:rPr>
      </w:pPr>
    </w:p>
    <w:p w14:paraId="743E9C4F" w14:textId="77777777" w:rsidR="001F2004" w:rsidRPr="009F548C" w:rsidRDefault="001F2004" w:rsidP="00C44643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  <w:lang w:eastAsia="en-US"/>
        </w:rPr>
      </w:pPr>
      <w:r w:rsidRPr="009F548C">
        <w:rPr>
          <w:rFonts w:eastAsiaTheme="minorHAnsi" w:cs="Arial"/>
          <w:sz w:val="22"/>
          <w:szCs w:val="22"/>
          <w:lang w:eastAsia="en-US"/>
        </w:rPr>
        <w:t>En mérito de lo expuesto,</w:t>
      </w:r>
    </w:p>
    <w:p w14:paraId="39C0614E" w14:textId="7E636CF5" w:rsidR="009F548C" w:rsidRPr="009F548C" w:rsidRDefault="009F548C" w:rsidP="00C44643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  <w:lang w:eastAsia="en-US"/>
        </w:rPr>
      </w:pPr>
    </w:p>
    <w:p w14:paraId="7D76E5BA" w14:textId="7F66E4B6" w:rsidR="009F548C" w:rsidRDefault="001F2004" w:rsidP="009F548C">
      <w:pPr>
        <w:suppressAutoHyphens/>
        <w:ind w:right="-106"/>
        <w:jc w:val="center"/>
        <w:rPr>
          <w:rFonts w:cs="Arial"/>
          <w:b/>
          <w:spacing w:val="-3"/>
          <w:sz w:val="22"/>
          <w:szCs w:val="22"/>
        </w:rPr>
      </w:pPr>
      <w:r w:rsidRPr="009F548C">
        <w:rPr>
          <w:rFonts w:cs="Arial"/>
          <w:b/>
          <w:spacing w:val="-3"/>
          <w:sz w:val="22"/>
          <w:szCs w:val="22"/>
        </w:rPr>
        <w:t>RESUELVE</w:t>
      </w:r>
    </w:p>
    <w:p w14:paraId="29611779" w14:textId="77777777" w:rsidR="009F548C" w:rsidRPr="009F548C" w:rsidRDefault="009F548C" w:rsidP="009F548C">
      <w:pPr>
        <w:suppressAutoHyphens/>
        <w:ind w:right="-106"/>
        <w:jc w:val="center"/>
        <w:rPr>
          <w:rFonts w:cs="Arial"/>
          <w:b/>
          <w:spacing w:val="-3"/>
          <w:sz w:val="22"/>
          <w:szCs w:val="22"/>
        </w:rPr>
      </w:pPr>
    </w:p>
    <w:p w14:paraId="3C5BC85E" w14:textId="3101FE06" w:rsidR="009F548C" w:rsidRPr="009F548C" w:rsidRDefault="009F548C" w:rsidP="00BA7E53">
      <w:pPr>
        <w:autoSpaceDE w:val="0"/>
        <w:autoSpaceDN w:val="0"/>
        <w:adjustRightInd w:val="0"/>
        <w:jc w:val="both"/>
        <w:rPr>
          <w:rFonts w:eastAsiaTheme="minorHAnsi" w:cs="Arial"/>
          <w:bCs/>
          <w:sz w:val="22"/>
          <w:szCs w:val="22"/>
          <w:lang w:eastAsia="en-US"/>
        </w:rPr>
      </w:pPr>
      <w:r w:rsidRPr="009F548C">
        <w:rPr>
          <w:rFonts w:eastAsiaTheme="minorHAnsi" w:cs="Arial"/>
          <w:b/>
          <w:bCs/>
          <w:sz w:val="22"/>
          <w:szCs w:val="22"/>
          <w:lang w:eastAsia="en-US"/>
        </w:rPr>
        <w:t xml:space="preserve">Artículo 1. </w:t>
      </w:r>
      <w:r w:rsidRPr="009F548C">
        <w:rPr>
          <w:rFonts w:eastAsiaTheme="minorHAnsi" w:cs="Arial"/>
          <w:b/>
          <w:bCs/>
          <w:sz w:val="22"/>
          <w:szCs w:val="22"/>
          <w:lang w:eastAsia="en-US"/>
        </w:rPr>
        <w:t>Modificación al artículo 1 de la Resolución 21292 de 2016</w:t>
      </w:r>
      <w:r w:rsidR="001F2004" w:rsidRPr="009F548C">
        <w:rPr>
          <w:rFonts w:eastAsiaTheme="minorHAnsi" w:cs="Arial"/>
          <w:b/>
          <w:bCs/>
          <w:i/>
          <w:sz w:val="22"/>
          <w:szCs w:val="22"/>
          <w:lang w:eastAsia="en-US"/>
        </w:rPr>
        <w:t>.</w:t>
      </w:r>
      <w:r w:rsidR="001F2004" w:rsidRPr="009F548C">
        <w:rPr>
          <w:rFonts w:eastAsiaTheme="minorHAnsi" w:cs="Arial"/>
          <w:b/>
          <w:bCs/>
          <w:sz w:val="22"/>
          <w:szCs w:val="22"/>
          <w:lang w:eastAsia="en-US"/>
        </w:rPr>
        <w:t xml:space="preserve"> </w:t>
      </w:r>
      <w:r w:rsidRPr="009F548C">
        <w:rPr>
          <w:rFonts w:eastAsiaTheme="minorHAnsi" w:cs="Arial"/>
          <w:bCs/>
          <w:sz w:val="22"/>
          <w:szCs w:val="22"/>
          <w:lang w:eastAsia="en-US"/>
        </w:rPr>
        <w:t xml:space="preserve">El artículo 1 de la Resolución 21292 de 2016, quedará así: </w:t>
      </w:r>
    </w:p>
    <w:p w14:paraId="3E70D3C6" w14:textId="77777777" w:rsidR="009F548C" w:rsidRPr="009F548C" w:rsidRDefault="009F548C" w:rsidP="00BA7E53">
      <w:pPr>
        <w:autoSpaceDE w:val="0"/>
        <w:autoSpaceDN w:val="0"/>
        <w:adjustRightInd w:val="0"/>
        <w:jc w:val="both"/>
        <w:rPr>
          <w:rFonts w:eastAsiaTheme="minorHAnsi" w:cs="Arial"/>
          <w:b/>
          <w:bCs/>
          <w:sz w:val="22"/>
          <w:szCs w:val="22"/>
          <w:lang w:eastAsia="en-US"/>
        </w:rPr>
      </w:pPr>
      <w:bookmarkStart w:id="0" w:name="_GoBack"/>
      <w:bookmarkEnd w:id="0"/>
    </w:p>
    <w:p w14:paraId="7A37DFD5" w14:textId="6B962108" w:rsidR="001F2004" w:rsidRPr="009F548C" w:rsidRDefault="009F548C" w:rsidP="00BA7E53">
      <w:pPr>
        <w:autoSpaceDE w:val="0"/>
        <w:autoSpaceDN w:val="0"/>
        <w:adjustRightInd w:val="0"/>
        <w:jc w:val="both"/>
        <w:rPr>
          <w:rFonts w:eastAsiaTheme="minorHAnsi" w:cs="Arial"/>
          <w:sz w:val="22"/>
          <w:szCs w:val="22"/>
          <w:lang w:eastAsia="en-US"/>
        </w:rPr>
      </w:pPr>
      <w:r w:rsidRPr="009F548C">
        <w:rPr>
          <w:rFonts w:eastAsiaTheme="minorHAnsi" w:cs="Arial"/>
          <w:bCs/>
          <w:sz w:val="22"/>
          <w:szCs w:val="22"/>
          <w:lang w:eastAsia="en-US"/>
        </w:rPr>
        <w:lastRenderedPageBreak/>
        <w:t>˂˂</w:t>
      </w:r>
      <w:r w:rsidRPr="009F548C">
        <w:rPr>
          <w:rFonts w:eastAsiaTheme="minorHAnsi" w:cs="Arial"/>
          <w:b/>
          <w:bCs/>
          <w:sz w:val="22"/>
          <w:szCs w:val="22"/>
          <w:lang w:eastAsia="en-US"/>
        </w:rPr>
        <w:t xml:space="preserve">Artículo 1. </w:t>
      </w:r>
      <w:r w:rsidR="001F2004" w:rsidRPr="009F548C">
        <w:rPr>
          <w:rFonts w:eastAsiaTheme="minorHAnsi" w:cs="Arial"/>
          <w:sz w:val="22"/>
          <w:szCs w:val="22"/>
          <w:lang w:eastAsia="en-US"/>
        </w:rPr>
        <w:t xml:space="preserve">Fíjese el siguiente cronograma de actividades para </w:t>
      </w:r>
      <w:r w:rsidR="00850E12" w:rsidRPr="009F548C">
        <w:rPr>
          <w:rFonts w:eastAsiaTheme="minorHAnsi" w:cs="Arial"/>
          <w:sz w:val="22"/>
          <w:szCs w:val="22"/>
          <w:lang w:eastAsia="en-US"/>
        </w:rPr>
        <w:t xml:space="preserve">la </w:t>
      </w:r>
      <w:r w:rsidR="001F2004" w:rsidRPr="009F548C">
        <w:rPr>
          <w:rFonts w:eastAsiaTheme="minorHAnsi" w:cs="Arial"/>
          <w:sz w:val="22"/>
          <w:szCs w:val="22"/>
          <w:lang w:eastAsia="en-US"/>
        </w:rPr>
        <w:t>evaluación de carácter diagnóstic</w:t>
      </w:r>
      <w:r w:rsidR="003174EF" w:rsidRPr="009F548C">
        <w:rPr>
          <w:rFonts w:eastAsiaTheme="minorHAnsi" w:cs="Arial"/>
          <w:sz w:val="22"/>
          <w:szCs w:val="22"/>
          <w:lang w:eastAsia="en-US"/>
        </w:rPr>
        <w:t>a</w:t>
      </w:r>
      <w:r w:rsidR="001F2004" w:rsidRPr="009F548C">
        <w:rPr>
          <w:rFonts w:eastAsiaTheme="minorHAnsi" w:cs="Arial"/>
          <w:sz w:val="22"/>
          <w:szCs w:val="22"/>
          <w:lang w:eastAsia="en-US"/>
        </w:rPr>
        <w:t xml:space="preserve"> formativa de que trata </w:t>
      </w:r>
      <w:r w:rsidR="00A40FB9" w:rsidRPr="009F548C">
        <w:rPr>
          <w:rFonts w:eastAsia="Batang" w:cs="Arial"/>
          <w:bCs/>
          <w:sz w:val="22"/>
          <w:szCs w:val="22"/>
          <w:lang w:val="es-ES_tradnl"/>
        </w:rPr>
        <w:t xml:space="preserve">trata el artículo 35 </w:t>
      </w:r>
      <w:r w:rsidR="00A40FB9" w:rsidRPr="009F548C">
        <w:rPr>
          <w:rFonts w:cs="Arial"/>
          <w:sz w:val="22"/>
          <w:szCs w:val="22"/>
          <w:lang w:val="es-CO"/>
        </w:rPr>
        <w:t>y el numeral 2 del artículo 36</w:t>
      </w:r>
      <w:r w:rsidR="00A40FB9" w:rsidRPr="009F548C">
        <w:rPr>
          <w:rFonts w:eastAsia="Batang" w:cs="Arial"/>
          <w:bCs/>
          <w:sz w:val="22"/>
          <w:szCs w:val="22"/>
          <w:lang w:val="es-ES_tradnl"/>
        </w:rPr>
        <w:t xml:space="preserve"> del Decreto Ley 1278 de 2002 </w:t>
      </w:r>
      <w:r w:rsidR="00385999" w:rsidRPr="009F548C">
        <w:rPr>
          <w:rFonts w:eastAsia="Batang" w:cs="Arial"/>
          <w:bCs/>
          <w:sz w:val="22"/>
          <w:szCs w:val="22"/>
          <w:lang w:val="es-ES_tradnl"/>
        </w:rPr>
        <w:t xml:space="preserve">que iniciará trámites en el año 2016 y se desarrollará durante </w:t>
      </w:r>
      <w:r w:rsidR="006E0C0A" w:rsidRPr="009F548C">
        <w:rPr>
          <w:rFonts w:eastAsia="Batang" w:cs="Arial"/>
          <w:bCs/>
          <w:sz w:val="22"/>
          <w:szCs w:val="22"/>
          <w:lang w:val="es-ES_tradnl"/>
        </w:rPr>
        <w:t>el año 2017:</w:t>
      </w:r>
      <w:r w:rsidR="00385999" w:rsidRPr="009F548C">
        <w:rPr>
          <w:rFonts w:eastAsiaTheme="minorHAnsi" w:cs="Arial"/>
          <w:sz w:val="22"/>
          <w:szCs w:val="22"/>
          <w:lang w:eastAsia="en-US"/>
        </w:rPr>
        <w:t xml:space="preserve"> </w:t>
      </w:r>
    </w:p>
    <w:p w14:paraId="4C92F45A" w14:textId="77777777" w:rsidR="001F2004" w:rsidRPr="009F548C" w:rsidRDefault="001F2004" w:rsidP="00C44643">
      <w:pPr>
        <w:jc w:val="both"/>
        <w:rPr>
          <w:rFonts w:cs="Arial"/>
          <w:sz w:val="22"/>
          <w:szCs w:val="22"/>
        </w:rPr>
      </w:pPr>
    </w:p>
    <w:tbl>
      <w:tblPr>
        <w:tblW w:w="892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387"/>
      </w:tblGrid>
      <w:tr w:rsidR="00BE6B60" w:rsidRPr="00847D93" w14:paraId="7DF53C7D" w14:textId="77777777" w:rsidTr="00847D93">
        <w:trPr>
          <w:trHeight w:val="149"/>
          <w:tblHeader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DDBB" w14:textId="77777777" w:rsidR="00BE6B60" w:rsidRPr="00847D93" w:rsidRDefault="00BE6B60" w:rsidP="009E171D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 w:rsidRPr="00847D93">
              <w:rPr>
                <w:rFonts w:cs="Arial"/>
                <w:b/>
                <w:bCs/>
                <w:color w:val="000000"/>
                <w:sz w:val="21"/>
                <w:szCs w:val="21"/>
              </w:rPr>
              <w:t>Actividad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1B83" w14:textId="77777777" w:rsidR="00BE6B60" w:rsidRPr="00847D93" w:rsidRDefault="00BE6B60" w:rsidP="009E171D">
            <w:pPr>
              <w:jc w:val="center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  <w:r w:rsidRPr="00847D93">
              <w:rPr>
                <w:rFonts w:cs="Arial"/>
                <w:b/>
                <w:bCs/>
                <w:color w:val="000000"/>
                <w:sz w:val="21"/>
                <w:szCs w:val="21"/>
              </w:rPr>
              <w:t>Periodo de Ejecución</w:t>
            </w:r>
          </w:p>
        </w:tc>
      </w:tr>
      <w:tr w:rsidR="00BE6B60" w:rsidRPr="00847D93" w14:paraId="09555A0A" w14:textId="77777777" w:rsidTr="00847D93">
        <w:trPr>
          <w:trHeight w:val="149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E87B0" w14:textId="77777777" w:rsidR="00BE6B60" w:rsidRPr="00847D93" w:rsidRDefault="00BE6B60" w:rsidP="009E171D">
            <w:pPr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847D93">
              <w:rPr>
                <w:rFonts w:cs="Arial"/>
                <w:color w:val="000000"/>
                <w:sz w:val="21"/>
                <w:szCs w:val="21"/>
              </w:rPr>
              <w:t>Definición de los instrumentos y las características de la evaluación.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4393" w14:textId="77777777" w:rsidR="00BE6B60" w:rsidRPr="00847D93" w:rsidRDefault="00BE6B60" w:rsidP="009E171D">
            <w:pPr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847D93">
              <w:rPr>
                <w:rFonts w:cs="Arial"/>
                <w:color w:val="000000"/>
                <w:sz w:val="21"/>
                <w:szCs w:val="21"/>
              </w:rPr>
              <w:t>El Ministerio de Educación Nacional expedirá el acto que defina la información sobre los instrumentos y las características de la evaluación, lo cual deberá surtirse a más tardar el 01 de diciembre de 2016.</w:t>
            </w:r>
          </w:p>
        </w:tc>
      </w:tr>
      <w:tr w:rsidR="00BE6B60" w:rsidRPr="00847D93" w14:paraId="2B531043" w14:textId="77777777" w:rsidTr="00847D93">
        <w:trPr>
          <w:trHeight w:val="149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D9DF" w14:textId="77777777" w:rsidR="00BE6B60" w:rsidRPr="00847D93" w:rsidRDefault="00BE6B60" w:rsidP="009E171D">
            <w:pPr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847D93">
              <w:rPr>
                <w:rFonts w:cs="Arial"/>
                <w:color w:val="000000"/>
                <w:sz w:val="21"/>
                <w:szCs w:val="21"/>
              </w:rPr>
              <w:t>Apertura y divulgación de la Convocatoria.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083F" w14:textId="77777777" w:rsidR="00BE6B60" w:rsidRPr="00847D93" w:rsidRDefault="00BE6B60" w:rsidP="009E171D">
            <w:pPr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847D93">
              <w:rPr>
                <w:rFonts w:cs="Arial"/>
                <w:color w:val="000000"/>
                <w:sz w:val="21"/>
                <w:szCs w:val="21"/>
              </w:rPr>
              <w:t xml:space="preserve">A partir del 02 de diciembre de 2016 y hasta antes de la fecha de inicio de compra del número de identificación personal, las secretarias de educación certificadas deberán expedir y divulgar el acto administrativo de convocatoria. </w:t>
            </w:r>
          </w:p>
        </w:tc>
      </w:tr>
      <w:tr w:rsidR="00BE6B60" w:rsidRPr="00847D93" w14:paraId="489C6BF6" w14:textId="77777777" w:rsidTr="00847D93">
        <w:trPr>
          <w:trHeight w:val="149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396BC" w14:textId="77777777" w:rsidR="00BE6B60" w:rsidRPr="00847D93" w:rsidRDefault="00BE6B60" w:rsidP="009E171D">
            <w:pPr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847D93">
              <w:rPr>
                <w:rFonts w:cs="Arial"/>
                <w:color w:val="000000"/>
                <w:sz w:val="21"/>
                <w:szCs w:val="21"/>
              </w:rPr>
              <w:t>Compra del número de identificación personal (NIP).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6D36" w14:textId="77777777" w:rsidR="00BE6B60" w:rsidRPr="00847D93" w:rsidRDefault="00BE6B60" w:rsidP="009E171D">
            <w:pPr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847D93">
              <w:rPr>
                <w:rFonts w:cs="Arial"/>
                <w:color w:val="000000"/>
                <w:sz w:val="21"/>
                <w:szCs w:val="21"/>
              </w:rPr>
              <w:t>Esta etapa iniciará el 19 de diciembre de 2016 y finalizará el 23 de enero de 2017, inclusive.</w:t>
            </w:r>
          </w:p>
        </w:tc>
      </w:tr>
      <w:tr w:rsidR="00BE6B60" w:rsidRPr="00847D93" w14:paraId="6982D55B" w14:textId="77777777" w:rsidTr="00847D93">
        <w:trPr>
          <w:trHeight w:val="623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690D0" w14:textId="77777777" w:rsidR="00BE6B60" w:rsidRPr="00847D93" w:rsidRDefault="00BE6B60" w:rsidP="009E171D">
            <w:pPr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847D93">
              <w:rPr>
                <w:rFonts w:cs="Arial"/>
                <w:color w:val="000000"/>
                <w:sz w:val="21"/>
                <w:szCs w:val="21"/>
              </w:rPr>
              <w:t>Inscripción.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4A3D" w14:textId="732FEAF9" w:rsidR="00BE6B60" w:rsidRPr="00847D93" w:rsidRDefault="00BE6B60" w:rsidP="009E171D">
            <w:pPr>
              <w:jc w:val="both"/>
              <w:rPr>
                <w:rFonts w:cs="Arial"/>
                <w:color w:val="000000"/>
                <w:sz w:val="21"/>
                <w:szCs w:val="21"/>
                <w:u w:val="single"/>
              </w:rPr>
            </w:pPr>
            <w:r w:rsidRPr="00847D93">
              <w:rPr>
                <w:rFonts w:cs="Arial"/>
                <w:color w:val="000000"/>
                <w:sz w:val="21"/>
                <w:szCs w:val="21"/>
                <w:u w:val="single"/>
              </w:rPr>
              <w:t>Iniciará el 02 de enero de 2017 y se cerrará el día 2</w:t>
            </w:r>
            <w:r w:rsidR="009F548C" w:rsidRPr="00847D93">
              <w:rPr>
                <w:rFonts w:cs="Arial"/>
                <w:color w:val="000000"/>
                <w:sz w:val="21"/>
                <w:szCs w:val="21"/>
                <w:u w:val="single"/>
              </w:rPr>
              <w:t>8</w:t>
            </w:r>
            <w:r w:rsidRPr="00847D93">
              <w:rPr>
                <w:rFonts w:cs="Arial"/>
                <w:color w:val="000000"/>
                <w:sz w:val="21"/>
                <w:szCs w:val="21"/>
                <w:u w:val="single"/>
              </w:rPr>
              <w:t xml:space="preserve"> de enero de 2017.</w:t>
            </w:r>
          </w:p>
        </w:tc>
      </w:tr>
      <w:tr w:rsidR="00BE6B60" w:rsidRPr="00847D93" w14:paraId="70671ECE" w14:textId="77777777" w:rsidTr="00847D93">
        <w:trPr>
          <w:trHeight w:val="149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00409" w14:textId="77777777" w:rsidR="00BE6B60" w:rsidRPr="00847D93" w:rsidRDefault="00BE6B60" w:rsidP="009E171D">
            <w:pPr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847D93">
              <w:rPr>
                <w:rFonts w:cs="Arial"/>
                <w:color w:val="000000"/>
                <w:sz w:val="21"/>
                <w:szCs w:val="21"/>
              </w:rPr>
              <w:t>Cargue y valoración de los instrumentos de evaluación.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B066" w14:textId="77777777" w:rsidR="00BE6B60" w:rsidRPr="00847D93" w:rsidRDefault="00BE6B60" w:rsidP="009E171D">
            <w:pPr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847D93">
              <w:rPr>
                <w:rFonts w:cs="Arial"/>
                <w:color w:val="000000"/>
                <w:sz w:val="21"/>
                <w:szCs w:val="21"/>
              </w:rPr>
              <w:t>Desde el 25 de enero de 2017. Estas etapas finalizarán como máximo el 23 de julio de 2017.</w:t>
            </w:r>
          </w:p>
        </w:tc>
      </w:tr>
      <w:tr w:rsidR="00BE6B60" w:rsidRPr="00847D93" w14:paraId="6A1B322E" w14:textId="77777777" w:rsidTr="00847D93">
        <w:trPr>
          <w:trHeight w:val="14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5B84D" w14:textId="77777777" w:rsidR="00BE6B60" w:rsidRPr="00847D93" w:rsidRDefault="00BE6B60" w:rsidP="009E171D">
            <w:pPr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847D93">
              <w:rPr>
                <w:rFonts w:cs="Arial"/>
                <w:color w:val="000000"/>
                <w:sz w:val="21"/>
                <w:szCs w:val="21"/>
              </w:rPr>
              <w:t>Publicación de resultados por parte del ICFES.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385E" w14:textId="77777777" w:rsidR="00BE6B60" w:rsidRPr="00847D93" w:rsidRDefault="00BE6B60" w:rsidP="009E171D">
            <w:pPr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847D93">
              <w:rPr>
                <w:rFonts w:cs="Arial"/>
                <w:color w:val="000000"/>
                <w:sz w:val="21"/>
                <w:szCs w:val="21"/>
              </w:rPr>
              <w:t xml:space="preserve">El Ministerio de Educación Nacional o la entidad contratada para operar la evaluación, publicará los resultados el 24 de julio de 2017. </w:t>
            </w:r>
          </w:p>
        </w:tc>
      </w:tr>
      <w:tr w:rsidR="00BE6B60" w:rsidRPr="00847D93" w14:paraId="2ABB208A" w14:textId="77777777" w:rsidTr="00847D93">
        <w:trPr>
          <w:trHeight w:val="14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0C38" w14:textId="77777777" w:rsidR="00BE6B60" w:rsidRPr="00847D93" w:rsidRDefault="00BE6B60" w:rsidP="009E171D">
            <w:pPr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847D93">
              <w:rPr>
                <w:rFonts w:cs="Arial"/>
                <w:color w:val="000000"/>
                <w:sz w:val="21"/>
                <w:szCs w:val="21"/>
              </w:rPr>
              <w:t>Término para presentar reclamaciones frente a los resultados.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7D57" w14:textId="77777777" w:rsidR="00BE6B60" w:rsidRPr="00847D93" w:rsidRDefault="00BE6B60" w:rsidP="009E171D">
            <w:pPr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847D93">
              <w:rPr>
                <w:rFonts w:cs="Arial"/>
                <w:color w:val="000000"/>
                <w:sz w:val="21"/>
                <w:szCs w:val="21"/>
              </w:rPr>
              <w:t xml:space="preserve">Los aspirantes a ser ascendidos o reubicados en los términos que indique la normatividad, podrán interponer reclamación de considerarlo necesario a partir del día hábil siguiente a la publicación de resultados. </w:t>
            </w:r>
          </w:p>
        </w:tc>
      </w:tr>
      <w:tr w:rsidR="00BE6B60" w:rsidRPr="00847D93" w14:paraId="4CD53301" w14:textId="77777777" w:rsidTr="00847D93">
        <w:trPr>
          <w:trHeight w:val="14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C0EDE" w14:textId="77777777" w:rsidR="00BE6B60" w:rsidRPr="00847D93" w:rsidRDefault="00BE6B60" w:rsidP="009E171D">
            <w:pPr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847D93">
              <w:rPr>
                <w:rFonts w:cs="Arial"/>
                <w:color w:val="000000"/>
                <w:sz w:val="21"/>
                <w:szCs w:val="21"/>
              </w:rPr>
              <w:t>Término para resolver las reclamaciones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5875" w14:textId="77777777" w:rsidR="00BE6B60" w:rsidRPr="00847D93" w:rsidRDefault="00BE6B60" w:rsidP="009E171D">
            <w:pPr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847D93">
              <w:rPr>
                <w:rFonts w:cs="Arial"/>
                <w:color w:val="000000"/>
                <w:sz w:val="21"/>
                <w:szCs w:val="21"/>
              </w:rPr>
              <w:t>El Ministerio de Educación Nacional o la entidad contratada para tal fin, contará con un término máximo cuarenta y cinco (45) días calendario para resolver las reclamaciones interpuestas.</w:t>
            </w:r>
          </w:p>
        </w:tc>
      </w:tr>
      <w:tr w:rsidR="00BE6B60" w:rsidRPr="00847D93" w14:paraId="5A1C2C09" w14:textId="77777777" w:rsidTr="00847D93">
        <w:trPr>
          <w:trHeight w:val="14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2978A" w14:textId="77777777" w:rsidR="00BE6B60" w:rsidRPr="00847D93" w:rsidRDefault="00BE6B60" w:rsidP="009E171D">
            <w:pPr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847D93">
              <w:rPr>
                <w:rFonts w:cs="Arial"/>
                <w:color w:val="000000"/>
                <w:sz w:val="21"/>
                <w:szCs w:val="21"/>
              </w:rPr>
              <w:t>Publicación lista de candidatos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59C2" w14:textId="77777777" w:rsidR="00BE6B60" w:rsidRPr="00847D93" w:rsidRDefault="00BE6B60" w:rsidP="009E171D">
            <w:pPr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847D93">
              <w:rPr>
                <w:rFonts w:cs="Arial"/>
                <w:color w:val="000000"/>
                <w:sz w:val="21"/>
                <w:szCs w:val="21"/>
              </w:rPr>
              <w:t>Una vez enviados los listados de candidatos por parte del Ministerio de Educación Nacional a las ETC, estas efectuarán la publicación de los listados dentro de los diez (10) días siguientes a la remisión.</w:t>
            </w:r>
          </w:p>
        </w:tc>
      </w:tr>
      <w:tr w:rsidR="00BE6B60" w:rsidRPr="00847D93" w14:paraId="24DBD099" w14:textId="77777777" w:rsidTr="00847D93">
        <w:trPr>
          <w:trHeight w:val="149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236D4" w14:textId="77777777" w:rsidR="00BE6B60" w:rsidRPr="00847D93" w:rsidRDefault="00BE6B60" w:rsidP="009E171D">
            <w:pPr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847D93">
              <w:rPr>
                <w:rFonts w:cs="Arial"/>
                <w:color w:val="000000"/>
                <w:sz w:val="21"/>
                <w:szCs w:val="21"/>
              </w:rPr>
              <w:t>Acreditación de requisitos y expedición de actos administrativos de ascenso, reubicación o negación del movimiento.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2985" w14:textId="77777777" w:rsidR="00BE6B60" w:rsidRPr="00847D93" w:rsidRDefault="00BE6B60" w:rsidP="009E171D">
            <w:pPr>
              <w:jc w:val="both"/>
              <w:rPr>
                <w:rFonts w:cs="Arial"/>
                <w:color w:val="000000"/>
                <w:sz w:val="21"/>
                <w:szCs w:val="21"/>
              </w:rPr>
            </w:pPr>
            <w:r w:rsidRPr="00847D93">
              <w:rPr>
                <w:rFonts w:cs="Arial"/>
                <w:color w:val="000000"/>
                <w:sz w:val="21"/>
                <w:szCs w:val="21"/>
              </w:rPr>
              <w:t>A partir de la publicación de los listados de candidatos, la entidad territorial contará con quince (15) días hábiles para expedir el acto administrativo de ascenso o reubicación salarial, previa verificación del cumplimiento de los requisitos previstos para tal efecto.</w:t>
            </w:r>
          </w:p>
        </w:tc>
      </w:tr>
    </w:tbl>
    <w:p w14:paraId="055BCED0" w14:textId="77777777" w:rsidR="00062BCA" w:rsidRPr="009F548C" w:rsidRDefault="00062BCA" w:rsidP="00C44643">
      <w:pPr>
        <w:ind w:right="-106"/>
        <w:jc w:val="both"/>
        <w:rPr>
          <w:rFonts w:cs="Arial"/>
          <w:b/>
          <w:sz w:val="22"/>
          <w:szCs w:val="22"/>
        </w:rPr>
      </w:pPr>
    </w:p>
    <w:p w14:paraId="2E19AD19" w14:textId="77777777" w:rsidR="001F2004" w:rsidRPr="009F548C" w:rsidRDefault="008645B0" w:rsidP="00C44643">
      <w:pPr>
        <w:ind w:right="-106"/>
        <w:jc w:val="both"/>
        <w:rPr>
          <w:rFonts w:cs="Arial"/>
          <w:sz w:val="22"/>
          <w:szCs w:val="22"/>
        </w:rPr>
      </w:pPr>
      <w:r w:rsidRPr="009F548C">
        <w:rPr>
          <w:rFonts w:cs="Arial"/>
          <w:b/>
          <w:sz w:val="22"/>
          <w:szCs w:val="22"/>
        </w:rPr>
        <w:t xml:space="preserve">Artículo </w:t>
      </w:r>
      <w:r w:rsidR="000C4BE0" w:rsidRPr="009F548C">
        <w:rPr>
          <w:rFonts w:cs="Arial"/>
          <w:b/>
          <w:sz w:val="22"/>
          <w:szCs w:val="22"/>
        </w:rPr>
        <w:t>2</w:t>
      </w:r>
      <w:r w:rsidR="001F2004" w:rsidRPr="009F548C">
        <w:rPr>
          <w:rFonts w:cs="Arial"/>
          <w:b/>
          <w:sz w:val="22"/>
          <w:szCs w:val="22"/>
        </w:rPr>
        <w:t xml:space="preserve">. </w:t>
      </w:r>
      <w:r w:rsidR="001F2004" w:rsidRPr="009F548C">
        <w:rPr>
          <w:rFonts w:cs="Arial"/>
          <w:sz w:val="22"/>
          <w:szCs w:val="22"/>
        </w:rPr>
        <w:t xml:space="preserve">La presente Resolución rige a partir de su publicación. </w:t>
      </w:r>
    </w:p>
    <w:p w14:paraId="1DFA3B51" w14:textId="21BE7CA6" w:rsidR="00EC5A4D" w:rsidRDefault="00EC5A4D" w:rsidP="00C44643">
      <w:pPr>
        <w:ind w:right="-106"/>
        <w:jc w:val="both"/>
        <w:rPr>
          <w:rFonts w:cs="Arial"/>
          <w:sz w:val="22"/>
          <w:szCs w:val="22"/>
        </w:rPr>
      </w:pPr>
    </w:p>
    <w:p w14:paraId="23C0BB48" w14:textId="77777777" w:rsidR="00847D93" w:rsidRPr="009F548C" w:rsidRDefault="00847D93" w:rsidP="00C44643">
      <w:pPr>
        <w:ind w:right="-106"/>
        <w:jc w:val="both"/>
        <w:rPr>
          <w:rFonts w:cs="Arial"/>
          <w:sz w:val="22"/>
          <w:szCs w:val="22"/>
        </w:rPr>
      </w:pPr>
    </w:p>
    <w:p w14:paraId="23C25F4E" w14:textId="77777777" w:rsidR="001F2004" w:rsidRPr="009F548C" w:rsidRDefault="001F2004" w:rsidP="00F37196">
      <w:pPr>
        <w:ind w:right="-106"/>
        <w:jc w:val="center"/>
        <w:rPr>
          <w:rFonts w:cs="Arial"/>
          <w:b/>
          <w:sz w:val="22"/>
          <w:szCs w:val="22"/>
        </w:rPr>
      </w:pPr>
      <w:r w:rsidRPr="009F548C">
        <w:rPr>
          <w:rFonts w:cs="Arial"/>
          <w:b/>
          <w:sz w:val="22"/>
          <w:szCs w:val="22"/>
        </w:rPr>
        <w:t>PUBLÍQUESE Y CÚMPLASE</w:t>
      </w:r>
    </w:p>
    <w:p w14:paraId="72CEF4BF" w14:textId="77777777" w:rsidR="001F2004" w:rsidRPr="009F548C" w:rsidRDefault="001F2004" w:rsidP="00F37196">
      <w:pPr>
        <w:ind w:right="-106"/>
        <w:jc w:val="center"/>
        <w:rPr>
          <w:rFonts w:cs="Arial"/>
          <w:b/>
          <w:sz w:val="22"/>
          <w:szCs w:val="22"/>
        </w:rPr>
      </w:pPr>
    </w:p>
    <w:p w14:paraId="1F0845DA" w14:textId="6781E72D" w:rsidR="001F2004" w:rsidRPr="009F548C" w:rsidRDefault="001F2004" w:rsidP="00847D93">
      <w:pPr>
        <w:ind w:right="-106"/>
        <w:rPr>
          <w:rFonts w:cs="Arial"/>
          <w:sz w:val="22"/>
          <w:szCs w:val="22"/>
        </w:rPr>
      </w:pPr>
      <w:r w:rsidRPr="009F548C">
        <w:rPr>
          <w:rFonts w:cs="Arial"/>
          <w:sz w:val="22"/>
          <w:szCs w:val="22"/>
        </w:rPr>
        <w:t>Dada en Bogotá D.C.,</w:t>
      </w:r>
    </w:p>
    <w:p w14:paraId="2BF3F621" w14:textId="77777777" w:rsidR="009F548C" w:rsidRPr="009F548C" w:rsidRDefault="009F548C" w:rsidP="008B0F52">
      <w:pPr>
        <w:rPr>
          <w:rFonts w:cs="Arial"/>
          <w:sz w:val="22"/>
          <w:szCs w:val="22"/>
        </w:rPr>
      </w:pPr>
    </w:p>
    <w:p w14:paraId="1B6C8361" w14:textId="0CF330FC" w:rsidR="001F2004" w:rsidRPr="009F548C" w:rsidRDefault="009F548C" w:rsidP="00BA7E53">
      <w:pPr>
        <w:jc w:val="both"/>
        <w:rPr>
          <w:rFonts w:cs="Arial"/>
          <w:b/>
          <w:sz w:val="22"/>
          <w:szCs w:val="22"/>
        </w:rPr>
      </w:pPr>
      <w:r w:rsidRPr="009F548C">
        <w:rPr>
          <w:rFonts w:cs="Arial"/>
          <w:b/>
          <w:sz w:val="22"/>
          <w:szCs w:val="22"/>
        </w:rPr>
        <w:t>LA</w:t>
      </w:r>
      <w:r w:rsidR="001C5BDA" w:rsidRPr="009F548C">
        <w:rPr>
          <w:rFonts w:cs="Arial"/>
          <w:b/>
          <w:sz w:val="22"/>
          <w:szCs w:val="22"/>
        </w:rPr>
        <w:t xml:space="preserve"> MINISTR</w:t>
      </w:r>
      <w:r w:rsidRPr="009F548C">
        <w:rPr>
          <w:rFonts w:cs="Arial"/>
          <w:b/>
          <w:sz w:val="22"/>
          <w:szCs w:val="22"/>
        </w:rPr>
        <w:t>A</w:t>
      </w:r>
      <w:r w:rsidR="001C5BDA" w:rsidRPr="009F548C">
        <w:rPr>
          <w:rFonts w:cs="Arial"/>
          <w:b/>
          <w:sz w:val="22"/>
          <w:szCs w:val="22"/>
        </w:rPr>
        <w:t xml:space="preserve"> DE EDUCACIÓN NACIONAL</w:t>
      </w:r>
      <w:r w:rsidR="001F2004" w:rsidRPr="009F548C">
        <w:rPr>
          <w:rFonts w:cs="Arial"/>
          <w:b/>
          <w:sz w:val="22"/>
          <w:szCs w:val="22"/>
        </w:rPr>
        <w:t>,</w:t>
      </w:r>
    </w:p>
    <w:p w14:paraId="14B42F4A" w14:textId="0AEB59BF" w:rsidR="00AB0228" w:rsidRPr="009F548C" w:rsidRDefault="00AB0228" w:rsidP="00BA7E53">
      <w:pPr>
        <w:jc w:val="both"/>
        <w:rPr>
          <w:rFonts w:cs="Arial"/>
          <w:sz w:val="22"/>
          <w:szCs w:val="22"/>
        </w:rPr>
      </w:pPr>
    </w:p>
    <w:p w14:paraId="5F86F02A" w14:textId="77777777" w:rsidR="006E0C0A" w:rsidRPr="009F548C" w:rsidRDefault="006E0C0A" w:rsidP="00BA7E53">
      <w:pPr>
        <w:jc w:val="both"/>
        <w:rPr>
          <w:rFonts w:cs="Arial"/>
          <w:sz w:val="22"/>
          <w:szCs w:val="22"/>
        </w:rPr>
      </w:pPr>
    </w:p>
    <w:p w14:paraId="56B863A2" w14:textId="77777777" w:rsidR="008C7833" w:rsidRPr="009F548C" w:rsidRDefault="008C7833" w:rsidP="00BA7E53">
      <w:pPr>
        <w:jc w:val="both"/>
        <w:rPr>
          <w:rFonts w:cs="Arial"/>
          <w:sz w:val="22"/>
          <w:szCs w:val="22"/>
        </w:rPr>
      </w:pPr>
    </w:p>
    <w:p w14:paraId="7AD318A9" w14:textId="023F8F76" w:rsidR="006B319F" w:rsidRDefault="006B319F" w:rsidP="00BA7E53">
      <w:pPr>
        <w:jc w:val="both"/>
        <w:rPr>
          <w:rFonts w:cs="Arial"/>
          <w:sz w:val="22"/>
          <w:szCs w:val="22"/>
        </w:rPr>
      </w:pPr>
    </w:p>
    <w:p w14:paraId="5B6F5711" w14:textId="77777777" w:rsidR="00847D93" w:rsidRPr="009F548C" w:rsidRDefault="00847D93" w:rsidP="00BA7E53">
      <w:pPr>
        <w:jc w:val="both"/>
        <w:rPr>
          <w:rFonts w:cs="Arial"/>
          <w:sz w:val="22"/>
          <w:szCs w:val="22"/>
        </w:rPr>
      </w:pPr>
    </w:p>
    <w:p w14:paraId="0F66114B" w14:textId="77777777" w:rsidR="00CE5036" w:rsidRPr="009F548C" w:rsidRDefault="00CE5036" w:rsidP="00BA7E53">
      <w:pPr>
        <w:jc w:val="both"/>
        <w:rPr>
          <w:rFonts w:cs="Arial"/>
          <w:sz w:val="22"/>
          <w:szCs w:val="22"/>
        </w:rPr>
      </w:pPr>
    </w:p>
    <w:p w14:paraId="59B23480" w14:textId="27D7540E" w:rsidR="00C23AC9" w:rsidRPr="009F548C" w:rsidRDefault="009F548C" w:rsidP="002934D5">
      <w:pPr>
        <w:jc w:val="right"/>
        <w:rPr>
          <w:rFonts w:cs="Arial"/>
          <w:b/>
          <w:sz w:val="22"/>
          <w:szCs w:val="22"/>
        </w:rPr>
      </w:pPr>
      <w:r w:rsidRPr="009F548C">
        <w:rPr>
          <w:rFonts w:cs="Arial"/>
          <w:b/>
          <w:sz w:val="22"/>
          <w:szCs w:val="22"/>
        </w:rPr>
        <w:t>YANETH GIHA TOVAR</w:t>
      </w:r>
    </w:p>
    <w:sectPr w:rsidR="00C23AC9" w:rsidRPr="009F548C" w:rsidSect="00847D93">
      <w:headerReference w:type="even" r:id="rId8"/>
      <w:headerReference w:type="default" r:id="rId9"/>
      <w:footerReference w:type="even" r:id="rId10"/>
      <w:headerReference w:type="first" r:id="rId11"/>
      <w:pgSz w:w="12240" w:h="18720" w:code="14"/>
      <w:pgMar w:top="454" w:right="1325" w:bottom="1843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71370" w14:textId="77777777" w:rsidR="00A72FEA" w:rsidRDefault="00A72FEA">
      <w:r>
        <w:separator/>
      </w:r>
    </w:p>
  </w:endnote>
  <w:endnote w:type="continuationSeparator" w:id="0">
    <w:p w14:paraId="45AEB1A4" w14:textId="77777777" w:rsidR="00A72FEA" w:rsidRDefault="00A7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 Unicode MS">
    <w:altName w:val="Yu Gothic"/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Astaire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4595A" w14:textId="77777777" w:rsidR="00587B45" w:rsidRDefault="00587B45">
    <w:pPr>
      <w:pStyle w:val="Piedepgin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9C356" w14:textId="77777777" w:rsidR="00A72FEA" w:rsidRDefault="00A72FEA">
      <w:r>
        <w:separator/>
      </w:r>
    </w:p>
  </w:footnote>
  <w:footnote w:type="continuationSeparator" w:id="0">
    <w:p w14:paraId="33A60B31" w14:textId="77777777" w:rsidR="00A72FEA" w:rsidRDefault="00A72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27E6C" w14:textId="77777777" w:rsidR="00587B45" w:rsidRDefault="00587B45">
    <w:pPr>
      <w:pStyle w:val="Encabezado"/>
      <w:tabs>
        <w:tab w:val="clear" w:pos="4320"/>
        <w:tab w:val="clear" w:pos="8640"/>
        <w:tab w:val="center" w:pos="5220"/>
      </w:tabs>
      <w:spacing w:before="272"/>
      <w:rPr>
        <w:b/>
      </w:rPr>
    </w:pPr>
    <w:r>
      <w:rPr>
        <w:b/>
        <w:lang w:val="pt-BR"/>
      </w:rPr>
      <w:t xml:space="preserve">DECRETO NUMERO _________________   de 2002    Hoja N°. </w:t>
    </w:r>
    <w:r>
      <w:rPr>
        <w:rStyle w:val="Nmerodepgina"/>
        <w:b/>
      </w:rPr>
      <w:fldChar w:fldCharType="begin"/>
    </w:r>
    <w:r>
      <w:rPr>
        <w:rStyle w:val="Nmerodepgina"/>
        <w:b/>
        <w:lang w:val="pt-BR"/>
      </w:rPr>
      <w:instrText xml:space="preserve"> PAGE </w:instrText>
    </w:r>
    <w:r>
      <w:rPr>
        <w:rStyle w:val="Nmerodepgina"/>
        <w:b/>
      </w:rPr>
      <w:fldChar w:fldCharType="separate"/>
    </w:r>
    <w:r>
      <w:rPr>
        <w:rStyle w:val="Nmerodepgina"/>
        <w:b/>
        <w:noProof/>
        <w:lang w:val="pt-BR"/>
      </w:rPr>
      <w:t>16</w:t>
    </w:r>
    <w:r>
      <w:rPr>
        <w:rStyle w:val="Nmerodepgina"/>
        <w:b/>
      </w:rPr>
      <w:fldChar w:fldCharType="end"/>
    </w:r>
  </w:p>
  <w:p w14:paraId="2EB8CB2E" w14:textId="77777777" w:rsidR="00587B45" w:rsidRDefault="00587B45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75EBAF0" wp14:editId="2836565E">
              <wp:simplePos x="0" y="0"/>
              <wp:positionH relativeFrom="page">
                <wp:posOffset>440055</wp:posOffset>
              </wp:positionH>
              <wp:positionV relativeFrom="page">
                <wp:posOffset>891540</wp:posOffset>
              </wp:positionV>
              <wp:extent cx="6872605" cy="10634345"/>
              <wp:effectExtent l="20955" t="15240" r="21590" b="18415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2605" cy="1063434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ED511F" id="Rectángulo 4" o:spid="_x0000_s1026" style="position:absolute;margin-left:34.65pt;margin-top:70.2pt;width:541.15pt;height:8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" o:allowincell="f" filled="f" strokeweight="2pt">
              <w10:wrap anchorx="page" anchory="page"/>
            </v:rect>
          </w:pict>
        </mc:Fallback>
      </mc:AlternateContent>
    </w:r>
  </w:p>
  <w:p w14:paraId="0257644E" w14:textId="77777777" w:rsidR="00587B45" w:rsidRDefault="00587B45">
    <w:pPr>
      <w:jc w:val="center"/>
      <w:rPr>
        <w:b/>
      </w:rPr>
    </w:pPr>
  </w:p>
  <w:p w14:paraId="6DAFA77A" w14:textId="77777777" w:rsidR="00587B45" w:rsidRDefault="00587B45">
    <w:pPr>
      <w:jc w:val="center"/>
      <w:rPr>
        <w:sz w:val="22"/>
      </w:rPr>
    </w:pPr>
    <w:r>
      <w:rPr>
        <w:noProof/>
        <w:color w:val="000000"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79C0B12" wp14:editId="486190D9">
              <wp:simplePos x="0" y="0"/>
              <wp:positionH relativeFrom="column">
                <wp:posOffset>188595</wp:posOffset>
              </wp:positionH>
              <wp:positionV relativeFrom="paragraph">
                <wp:posOffset>406400</wp:posOffset>
              </wp:positionV>
              <wp:extent cx="6286500" cy="0"/>
              <wp:effectExtent l="7620" t="6350" r="11430" b="1270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61D2FD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32pt" to="509.8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wX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" o:allowincell="f"/>
          </w:pict>
        </mc:Fallback>
      </mc:AlternateContent>
    </w:r>
    <w:r>
      <w:t xml:space="preserve">Continuación del decreto </w:t>
    </w:r>
    <w:r>
      <w:rPr>
        <w:sz w:val="22"/>
      </w:rPr>
      <w:t xml:space="preserve">“Por el cual se </w:t>
    </w:r>
    <w:r>
      <w:rPr>
        <w:color w:val="000000"/>
      </w:rPr>
      <w:t xml:space="preserve">reasignan unas funciones y competencias </w:t>
    </w:r>
    <w:r>
      <w:rPr>
        <w:sz w:val="22"/>
      </w:rPr>
      <w:t>-”</w:t>
    </w:r>
  </w:p>
  <w:p w14:paraId="06B8D46F" w14:textId="77777777" w:rsidR="00587B45" w:rsidRDefault="00587B45">
    <w:pPr>
      <w:jc w:val="center"/>
      <w:rPr>
        <w:sz w:val="22"/>
      </w:rPr>
    </w:pPr>
  </w:p>
  <w:p w14:paraId="7BBA5A19" w14:textId="77777777" w:rsidR="00587B45" w:rsidRDefault="00587B45">
    <w:pPr>
      <w:jc w:val="center"/>
      <w:rPr>
        <w:snapToGrid w:val="0"/>
        <w:color w:val="000000"/>
        <w:sz w:val="18"/>
      </w:rPr>
    </w:pPr>
  </w:p>
  <w:p w14:paraId="371F5EA1" w14:textId="77777777" w:rsidR="00587B45" w:rsidRDefault="00587B45">
    <w:pPr>
      <w:jc w:val="center"/>
      <w:rPr>
        <w:snapToGrid w:val="0"/>
        <w:color w:val="000000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72529" w14:textId="77EAD6A9" w:rsidR="00587B45" w:rsidRDefault="00587B45">
    <w:pPr>
      <w:pStyle w:val="Encabezado"/>
      <w:jc w:val="center"/>
      <w:rPr>
        <w:b/>
      </w:rPr>
    </w:pPr>
    <w:r>
      <w:rPr>
        <w:b/>
        <w:lang w:val="pt-BR"/>
      </w:rPr>
      <w:t xml:space="preserve">RESOLUCIÓN NÚMERO  </w:t>
    </w:r>
    <w:r>
      <w:rPr>
        <w:b/>
        <w:sz w:val="22"/>
        <w:lang w:val="pt-BR"/>
      </w:rPr>
      <w:t xml:space="preserve">                </w:t>
    </w:r>
    <w:r w:rsidR="00121E1A">
      <w:rPr>
        <w:b/>
        <w:lang w:val="pt-BR"/>
      </w:rPr>
      <w:t>de 2017</w:t>
    </w:r>
    <w:r>
      <w:rPr>
        <w:b/>
        <w:lang w:val="pt-BR"/>
      </w:rPr>
      <w:t xml:space="preserve"> </w:t>
    </w:r>
    <w:r w:rsidRPr="00E51047">
      <w:rPr>
        <w:b/>
        <w:lang w:val="es-CO"/>
      </w:rPr>
      <w:t>Hoja</w:t>
    </w:r>
    <w:r>
      <w:rPr>
        <w:b/>
        <w:lang w:val="pt-BR"/>
      </w:rPr>
      <w:t xml:space="preserve"> N°. </w:t>
    </w:r>
    <w:r>
      <w:rPr>
        <w:rStyle w:val="Nmerodepgina"/>
        <w:b/>
      </w:rPr>
      <w:fldChar w:fldCharType="begin"/>
    </w:r>
    <w:r>
      <w:rPr>
        <w:rStyle w:val="Nmerodepgina"/>
        <w:b/>
        <w:lang w:val="pt-BR"/>
      </w:rPr>
      <w:instrText xml:space="preserve"> PAGE </w:instrText>
    </w:r>
    <w:r>
      <w:rPr>
        <w:rStyle w:val="Nmerodepgina"/>
        <w:b/>
      </w:rPr>
      <w:fldChar w:fldCharType="separate"/>
    </w:r>
    <w:r w:rsidR="00121E1A">
      <w:rPr>
        <w:rStyle w:val="Nmerodepgina"/>
        <w:b/>
        <w:noProof/>
        <w:lang w:val="pt-BR"/>
      </w:rPr>
      <w:t>2</w:t>
    </w:r>
    <w:r>
      <w:rPr>
        <w:rStyle w:val="Nmerodepgina"/>
        <w:b/>
      </w:rPr>
      <w:fldChar w:fldCharType="end"/>
    </w:r>
  </w:p>
  <w:p w14:paraId="6CC94B51" w14:textId="77777777" w:rsidR="00587B45" w:rsidRDefault="00587B45" w:rsidP="006D5003">
    <w:pPr>
      <w:jc w:val="both"/>
      <w:rPr>
        <w:b/>
      </w:rPr>
    </w:pPr>
    <w:r>
      <w:rPr>
        <w:rFonts w:ascii="Times New Roman" w:hAnsi="Times New Roman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1FEB078" wp14:editId="02C4CB0E">
              <wp:simplePos x="0" y="0"/>
              <wp:positionH relativeFrom="page">
                <wp:posOffset>457200</wp:posOffset>
              </wp:positionH>
              <wp:positionV relativeFrom="page">
                <wp:posOffset>657225</wp:posOffset>
              </wp:positionV>
              <wp:extent cx="6830695" cy="10115550"/>
              <wp:effectExtent l="19050" t="19050" r="27305" b="1905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0695" cy="1011555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8FE2C3" id="Rectángulo 2" o:spid="_x0000_s1026" style="position:absolute;margin-left:36pt;margin-top:51.75pt;width:537.85pt;height:796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" o:allowincell="f" filled="f" strokeweight="3pt">
              <w10:wrap anchorx="page" anchory="page"/>
            </v:rect>
          </w:pict>
        </mc:Fallback>
      </mc:AlternateContent>
    </w:r>
  </w:p>
  <w:p w14:paraId="015B4FD3" w14:textId="4C294525" w:rsidR="00587B45" w:rsidRPr="00760101" w:rsidRDefault="00587B45" w:rsidP="00AD7307">
    <w:pPr>
      <w:pStyle w:val="Textoindependiente21"/>
      <w:ind w:right="-108"/>
      <w:jc w:val="both"/>
      <w:rPr>
        <w:rFonts w:eastAsiaTheme="minorHAnsi" w:cs="Arial"/>
        <w:sz w:val="18"/>
        <w:szCs w:val="18"/>
        <w:lang w:val="es-CO" w:eastAsia="en-US"/>
      </w:rPr>
    </w:pPr>
    <w:r w:rsidRPr="00D87B85">
      <w:rPr>
        <w:rFonts w:eastAsiaTheme="minorHAnsi" w:cs="Arial"/>
        <w:sz w:val="16"/>
        <w:szCs w:val="16"/>
        <w:lang w:val="es-CO" w:eastAsia="en-US"/>
      </w:rPr>
      <w:t xml:space="preserve">Continuación de la Resolución </w:t>
    </w:r>
    <w:r w:rsidR="00847D93">
      <w:rPr>
        <w:rFonts w:cs="Arial"/>
        <w:sz w:val="16"/>
        <w:szCs w:val="16"/>
        <w:lang w:val="es-ES"/>
      </w:rPr>
      <w:t>˂˂</w:t>
    </w:r>
    <w:r w:rsidR="00847D93" w:rsidRPr="00847D93">
      <w:t xml:space="preserve"> </w:t>
    </w:r>
    <w:r w:rsidR="00847D93" w:rsidRPr="00847D93">
      <w:rPr>
        <w:rFonts w:cs="Arial"/>
        <w:sz w:val="16"/>
        <w:szCs w:val="16"/>
        <w:lang w:val="es-ES"/>
      </w:rPr>
      <w:t>Por la cual se modifica la resolución 21292 de 2016 y se dictan otras disposiciones</w:t>
    </w:r>
    <w:r w:rsidR="00847D93">
      <w:rPr>
        <w:rFonts w:cs="Arial"/>
        <w:sz w:val="16"/>
        <w:szCs w:val="16"/>
        <w:lang w:val="es-ES"/>
      </w:rPr>
      <w:t>˃˃</w:t>
    </w:r>
  </w:p>
  <w:p w14:paraId="27120C9F" w14:textId="77777777" w:rsidR="00587B45" w:rsidRPr="006944E0" w:rsidRDefault="00587B45" w:rsidP="006D5003">
    <w:pPr>
      <w:pStyle w:val="Textoindependiente21"/>
      <w:spacing w:after="120"/>
      <w:ind w:right="-106"/>
      <w:jc w:val="both"/>
      <w:rPr>
        <w:sz w:val="20"/>
        <w:szCs w:val="20"/>
      </w:rPr>
    </w:pPr>
    <w:r w:rsidRPr="006944E0">
      <w:rPr>
        <w:sz w:val="20"/>
        <w:szCs w:val="20"/>
      </w:rPr>
      <w:t>---------------------------------------------------------------------------------------------------------------------------------</w:t>
    </w:r>
    <w:r>
      <w:rPr>
        <w:sz w:val="20"/>
        <w:szCs w:val="20"/>
      </w:rPr>
      <w:t>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BB490" w14:textId="2ADDDE98" w:rsidR="00587B45" w:rsidRDefault="00587B45" w:rsidP="006D5003">
    <w:pPr>
      <w:pStyle w:val="Encabezado"/>
      <w:rPr>
        <w:b/>
        <w:sz w:val="24"/>
      </w:rPr>
    </w:pPr>
  </w:p>
  <w:p w14:paraId="49DAC929" w14:textId="1CB14257" w:rsidR="00587B45" w:rsidRDefault="00847D93" w:rsidP="006D5003">
    <w:pPr>
      <w:pStyle w:val="Encabezado"/>
      <w:rPr>
        <w:b/>
        <w:sz w:val="24"/>
      </w:rPr>
    </w:pPr>
    <w:r>
      <w:rPr>
        <w:noProof/>
        <w:sz w:val="28"/>
        <w:lang w:val="es-CO" w:eastAsia="es-CO"/>
      </w:rPr>
      <w:drawing>
        <wp:anchor distT="0" distB="0" distL="114300" distR="114300" simplePos="0" relativeHeight="251658240" behindDoc="0" locked="0" layoutInCell="1" allowOverlap="1" wp14:anchorId="52AE9B4C" wp14:editId="376C8F8F">
          <wp:simplePos x="0" y="0"/>
          <wp:positionH relativeFrom="column">
            <wp:posOffset>2346325</wp:posOffset>
          </wp:positionH>
          <wp:positionV relativeFrom="paragraph">
            <wp:posOffset>247650</wp:posOffset>
          </wp:positionV>
          <wp:extent cx="1323975" cy="771525"/>
          <wp:effectExtent l="0" t="0" r="0" b="9525"/>
          <wp:wrapTopAndBottom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D537BF" w14:textId="77777777" w:rsidR="00121E1A" w:rsidRDefault="00121E1A" w:rsidP="006D5003">
    <w:pPr>
      <w:pStyle w:val="Encabezado"/>
      <w:rPr>
        <w:b/>
        <w:sz w:val="24"/>
      </w:rPr>
    </w:pPr>
  </w:p>
  <w:p w14:paraId="6964035B" w14:textId="504B24F2" w:rsidR="00587B45" w:rsidRDefault="006E0C0A" w:rsidP="006D5003">
    <w:pPr>
      <w:pStyle w:val="Encabezado"/>
      <w:rPr>
        <w:b/>
        <w:sz w:val="24"/>
      </w:rPr>
    </w:pPr>
    <w:r>
      <w:rPr>
        <w:noProof/>
        <w:sz w:val="28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1C64FC" wp14:editId="505AB84A">
              <wp:simplePos x="0" y="0"/>
              <wp:positionH relativeFrom="page">
                <wp:posOffset>466725</wp:posOffset>
              </wp:positionH>
              <wp:positionV relativeFrom="page">
                <wp:posOffset>723900</wp:posOffset>
              </wp:positionV>
              <wp:extent cx="6830695" cy="10067925"/>
              <wp:effectExtent l="19050" t="19050" r="27305" b="28575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0695" cy="10067925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3BA2B1" id="Rectángulo 1" o:spid="_x0000_s1026" style="position:absolute;margin-left:36.75pt;margin-top:57pt;width:537.85pt;height:7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" o:allowincell="f" filled="f" strokeweight="3pt">
              <w10:wrap anchorx="page" anchory="page"/>
            </v:rect>
          </w:pict>
        </mc:Fallback>
      </mc:AlternateContent>
    </w:r>
  </w:p>
  <w:p w14:paraId="3CD7CA56" w14:textId="55F8FFC9" w:rsidR="00587B45" w:rsidRDefault="009F548C" w:rsidP="00847D93">
    <w:pPr>
      <w:pStyle w:val="Encabezado"/>
      <w:rPr>
        <w:b/>
        <w:sz w:val="24"/>
      </w:rPr>
    </w:pPr>
    <w:r>
      <w:rPr>
        <w:b/>
        <w:sz w:val="24"/>
      </w:rPr>
      <w:t xml:space="preserve">        </w:t>
    </w:r>
  </w:p>
  <w:p w14:paraId="4C79A274" w14:textId="77777777" w:rsidR="00121E1A" w:rsidRDefault="00121E1A" w:rsidP="00847D93">
    <w:pPr>
      <w:pStyle w:val="Encabezado"/>
      <w:rPr>
        <w:b/>
        <w:sz w:val="24"/>
      </w:rPr>
    </w:pPr>
  </w:p>
  <w:p w14:paraId="3D7A2B85" w14:textId="77777777" w:rsidR="00587B45" w:rsidRDefault="00587B45" w:rsidP="006D5003">
    <w:pPr>
      <w:pStyle w:val="Encabezado"/>
      <w:jc w:val="center"/>
      <w:rPr>
        <w:b/>
        <w:sz w:val="24"/>
      </w:rPr>
    </w:pPr>
    <w:r>
      <w:rPr>
        <w:b/>
        <w:sz w:val="24"/>
      </w:rPr>
      <w:t>MINISTERIO DE EDUCACIÓN NACIONAL</w:t>
    </w:r>
  </w:p>
  <w:p w14:paraId="5EFD1F36" w14:textId="7F7497D2" w:rsidR="00587B45" w:rsidRDefault="00587B45" w:rsidP="00847D93">
    <w:pPr>
      <w:pStyle w:val="Encabezado"/>
      <w:rPr>
        <w:b/>
        <w:sz w:val="24"/>
      </w:rPr>
    </w:pPr>
  </w:p>
  <w:p w14:paraId="2FA340AC" w14:textId="77777777" w:rsidR="00587B45" w:rsidRPr="00C33A4B" w:rsidRDefault="00587B45" w:rsidP="006D5003">
    <w:pPr>
      <w:pStyle w:val="Encabezad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1E8"/>
    <w:multiLevelType w:val="hybridMultilevel"/>
    <w:tmpl w:val="B9E634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31BB"/>
    <w:multiLevelType w:val="hybridMultilevel"/>
    <w:tmpl w:val="115437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6AD7"/>
    <w:multiLevelType w:val="hybridMultilevel"/>
    <w:tmpl w:val="CAD4A74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91AB2"/>
    <w:multiLevelType w:val="hybridMultilevel"/>
    <w:tmpl w:val="FB1E72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03CE4"/>
    <w:multiLevelType w:val="hybridMultilevel"/>
    <w:tmpl w:val="6B5C0950"/>
    <w:lvl w:ilvl="0" w:tplc="857698BA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2053E2"/>
    <w:multiLevelType w:val="hybridMultilevel"/>
    <w:tmpl w:val="82EE8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77696"/>
    <w:multiLevelType w:val="hybridMultilevel"/>
    <w:tmpl w:val="8DEC36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F7707"/>
    <w:multiLevelType w:val="hybridMultilevel"/>
    <w:tmpl w:val="3D6827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917A3B"/>
    <w:multiLevelType w:val="hybridMultilevel"/>
    <w:tmpl w:val="F8AEDE78"/>
    <w:lvl w:ilvl="0" w:tplc="240A000F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 w15:restartNumberingAfterBreak="0">
    <w:nsid w:val="15BF6F3E"/>
    <w:multiLevelType w:val="hybridMultilevel"/>
    <w:tmpl w:val="3D50961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9A7FAB"/>
    <w:multiLevelType w:val="hybridMultilevel"/>
    <w:tmpl w:val="FB1E72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53F7C"/>
    <w:multiLevelType w:val="hybridMultilevel"/>
    <w:tmpl w:val="8B085D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A46E7D"/>
    <w:multiLevelType w:val="hybridMultilevel"/>
    <w:tmpl w:val="9E48C9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5194F"/>
    <w:multiLevelType w:val="hybridMultilevel"/>
    <w:tmpl w:val="091E286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BB69F6"/>
    <w:multiLevelType w:val="hybridMultilevel"/>
    <w:tmpl w:val="A09898B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7D04E3"/>
    <w:multiLevelType w:val="hybridMultilevel"/>
    <w:tmpl w:val="6EFC23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664FE"/>
    <w:multiLevelType w:val="hybridMultilevel"/>
    <w:tmpl w:val="1FAC90F8"/>
    <w:lvl w:ilvl="0" w:tplc="FCDABF64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270FFC"/>
    <w:multiLevelType w:val="hybridMultilevel"/>
    <w:tmpl w:val="EC7033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F78B2"/>
    <w:multiLevelType w:val="hybridMultilevel"/>
    <w:tmpl w:val="420AD186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11135F"/>
    <w:multiLevelType w:val="hybridMultilevel"/>
    <w:tmpl w:val="17AA27E4"/>
    <w:lvl w:ilvl="0" w:tplc="845051D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872F0"/>
    <w:multiLevelType w:val="hybridMultilevel"/>
    <w:tmpl w:val="4C06E8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13915"/>
    <w:multiLevelType w:val="hybridMultilevel"/>
    <w:tmpl w:val="64488B82"/>
    <w:lvl w:ilvl="0" w:tplc="D08E66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34F72"/>
    <w:multiLevelType w:val="hybridMultilevel"/>
    <w:tmpl w:val="266A3DA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8E37BC"/>
    <w:multiLevelType w:val="hybridMultilevel"/>
    <w:tmpl w:val="BDF630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C6FBB"/>
    <w:multiLevelType w:val="hybridMultilevel"/>
    <w:tmpl w:val="C4965266"/>
    <w:lvl w:ilvl="0" w:tplc="3EAEF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9370E"/>
    <w:multiLevelType w:val="hybridMultilevel"/>
    <w:tmpl w:val="AF8069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E567D"/>
    <w:multiLevelType w:val="hybridMultilevel"/>
    <w:tmpl w:val="76B2E6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C2798F"/>
    <w:multiLevelType w:val="hybridMultilevel"/>
    <w:tmpl w:val="91D2C2D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B12FD5"/>
    <w:multiLevelType w:val="hybridMultilevel"/>
    <w:tmpl w:val="C8CCE78C"/>
    <w:lvl w:ilvl="0" w:tplc="67ACA3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9558AE"/>
    <w:multiLevelType w:val="hybridMultilevel"/>
    <w:tmpl w:val="D916DAAA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E32CF1"/>
    <w:multiLevelType w:val="hybridMultilevel"/>
    <w:tmpl w:val="FB766F42"/>
    <w:lvl w:ilvl="0" w:tplc="229AE752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  <w:i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742F10CE"/>
    <w:multiLevelType w:val="hybridMultilevel"/>
    <w:tmpl w:val="FB1E72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B4E23"/>
    <w:multiLevelType w:val="hybridMultilevel"/>
    <w:tmpl w:val="67A6AB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C6EDF"/>
    <w:multiLevelType w:val="hybridMultilevel"/>
    <w:tmpl w:val="5CC6AE9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E30C74"/>
    <w:multiLevelType w:val="hybridMultilevel"/>
    <w:tmpl w:val="067898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45A2A"/>
    <w:multiLevelType w:val="hybridMultilevel"/>
    <w:tmpl w:val="91CCD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3"/>
  </w:num>
  <w:num w:numId="4">
    <w:abstractNumId w:val="25"/>
  </w:num>
  <w:num w:numId="5">
    <w:abstractNumId w:val="35"/>
  </w:num>
  <w:num w:numId="6">
    <w:abstractNumId w:val="22"/>
  </w:num>
  <w:num w:numId="7">
    <w:abstractNumId w:val="20"/>
  </w:num>
  <w:num w:numId="8">
    <w:abstractNumId w:val="16"/>
  </w:num>
  <w:num w:numId="9">
    <w:abstractNumId w:val="28"/>
  </w:num>
  <w:num w:numId="10">
    <w:abstractNumId w:val="27"/>
  </w:num>
  <w:num w:numId="11">
    <w:abstractNumId w:val="26"/>
  </w:num>
  <w:num w:numId="12">
    <w:abstractNumId w:val="33"/>
  </w:num>
  <w:num w:numId="13">
    <w:abstractNumId w:val="11"/>
  </w:num>
  <w:num w:numId="14">
    <w:abstractNumId w:val="7"/>
  </w:num>
  <w:num w:numId="15">
    <w:abstractNumId w:val="14"/>
  </w:num>
  <w:num w:numId="16">
    <w:abstractNumId w:val="32"/>
  </w:num>
  <w:num w:numId="17">
    <w:abstractNumId w:val="1"/>
  </w:num>
  <w:num w:numId="18">
    <w:abstractNumId w:val="9"/>
  </w:num>
  <w:num w:numId="19">
    <w:abstractNumId w:val="29"/>
  </w:num>
  <w:num w:numId="20">
    <w:abstractNumId w:val="4"/>
  </w:num>
  <w:num w:numId="21">
    <w:abstractNumId w:val="18"/>
  </w:num>
  <w:num w:numId="22">
    <w:abstractNumId w:val="2"/>
  </w:num>
  <w:num w:numId="23">
    <w:abstractNumId w:val="15"/>
  </w:num>
  <w:num w:numId="24">
    <w:abstractNumId w:val="12"/>
  </w:num>
  <w:num w:numId="25">
    <w:abstractNumId w:val="13"/>
  </w:num>
  <w:num w:numId="26">
    <w:abstractNumId w:val="30"/>
  </w:num>
  <w:num w:numId="27">
    <w:abstractNumId w:val="8"/>
  </w:num>
  <w:num w:numId="28">
    <w:abstractNumId w:val="34"/>
  </w:num>
  <w:num w:numId="29">
    <w:abstractNumId w:val="31"/>
  </w:num>
  <w:num w:numId="30">
    <w:abstractNumId w:val="10"/>
  </w:num>
  <w:num w:numId="31">
    <w:abstractNumId w:val="3"/>
  </w:num>
  <w:num w:numId="32">
    <w:abstractNumId w:val="21"/>
  </w:num>
  <w:num w:numId="33">
    <w:abstractNumId w:val="0"/>
  </w:num>
  <w:num w:numId="34">
    <w:abstractNumId w:val="6"/>
  </w:num>
  <w:num w:numId="35">
    <w:abstractNumId w:val="1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04"/>
    <w:rsid w:val="00003DD5"/>
    <w:rsid w:val="000041C0"/>
    <w:rsid w:val="00011579"/>
    <w:rsid w:val="0002278D"/>
    <w:rsid w:val="0002559E"/>
    <w:rsid w:val="0002598D"/>
    <w:rsid w:val="00033103"/>
    <w:rsid w:val="000436BC"/>
    <w:rsid w:val="000600C6"/>
    <w:rsid w:val="00062B3D"/>
    <w:rsid w:val="00062BCA"/>
    <w:rsid w:val="00063E33"/>
    <w:rsid w:val="00081D61"/>
    <w:rsid w:val="00091663"/>
    <w:rsid w:val="000A3682"/>
    <w:rsid w:val="000B0539"/>
    <w:rsid w:val="000B238F"/>
    <w:rsid w:val="000B598E"/>
    <w:rsid w:val="000C07D0"/>
    <w:rsid w:val="000C1481"/>
    <w:rsid w:val="000C2F82"/>
    <w:rsid w:val="000C396A"/>
    <w:rsid w:val="000C4BE0"/>
    <w:rsid w:val="000E2ABB"/>
    <w:rsid w:val="000F0F2A"/>
    <w:rsid w:val="00105FCB"/>
    <w:rsid w:val="00107ECE"/>
    <w:rsid w:val="00117CC1"/>
    <w:rsid w:val="00121E1A"/>
    <w:rsid w:val="00122A55"/>
    <w:rsid w:val="00132F9E"/>
    <w:rsid w:val="001477A9"/>
    <w:rsid w:val="00151098"/>
    <w:rsid w:val="0015570A"/>
    <w:rsid w:val="00167C0A"/>
    <w:rsid w:val="00173418"/>
    <w:rsid w:val="00182829"/>
    <w:rsid w:val="00183B22"/>
    <w:rsid w:val="00197B7E"/>
    <w:rsid w:val="001B140A"/>
    <w:rsid w:val="001C5BDA"/>
    <w:rsid w:val="001F2004"/>
    <w:rsid w:val="001F2417"/>
    <w:rsid w:val="001F2F2F"/>
    <w:rsid w:val="001F6671"/>
    <w:rsid w:val="00203349"/>
    <w:rsid w:val="0022279E"/>
    <w:rsid w:val="00237BAF"/>
    <w:rsid w:val="002502E7"/>
    <w:rsid w:val="00255099"/>
    <w:rsid w:val="00257FE0"/>
    <w:rsid w:val="002613C9"/>
    <w:rsid w:val="002617A0"/>
    <w:rsid w:val="0027568E"/>
    <w:rsid w:val="00276D79"/>
    <w:rsid w:val="002773B3"/>
    <w:rsid w:val="00277626"/>
    <w:rsid w:val="00293096"/>
    <w:rsid w:val="002934D5"/>
    <w:rsid w:val="00294680"/>
    <w:rsid w:val="00296B2D"/>
    <w:rsid w:val="002A49F8"/>
    <w:rsid w:val="002C6654"/>
    <w:rsid w:val="002D08C4"/>
    <w:rsid w:val="002D2C4C"/>
    <w:rsid w:val="002D70E9"/>
    <w:rsid w:val="002D74BB"/>
    <w:rsid w:val="002F30F5"/>
    <w:rsid w:val="002F5115"/>
    <w:rsid w:val="003022A2"/>
    <w:rsid w:val="003174EF"/>
    <w:rsid w:val="00330BEC"/>
    <w:rsid w:val="00332049"/>
    <w:rsid w:val="003371DE"/>
    <w:rsid w:val="00341738"/>
    <w:rsid w:val="00355512"/>
    <w:rsid w:val="00373348"/>
    <w:rsid w:val="003734B3"/>
    <w:rsid w:val="00373BBF"/>
    <w:rsid w:val="00374385"/>
    <w:rsid w:val="003743C3"/>
    <w:rsid w:val="00382531"/>
    <w:rsid w:val="00385999"/>
    <w:rsid w:val="00387E3B"/>
    <w:rsid w:val="00390724"/>
    <w:rsid w:val="003A1868"/>
    <w:rsid w:val="003A67F2"/>
    <w:rsid w:val="003B04C9"/>
    <w:rsid w:val="003D4517"/>
    <w:rsid w:val="003D4F86"/>
    <w:rsid w:val="003E16E2"/>
    <w:rsid w:val="003E4EEE"/>
    <w:rsid w:val="003F141D"/>
    <w:rsid w:val="00405C11"/>
    <w:rsid w:val="004074DD"/>
    <w:rsid w:val="0041745B"/>
    <w:rsid w:val="004277FC"/>
    <w:rsid w:val="00443C58"/>
    <w:rsid w:val="0045212E"/>
    <w:rsid w:val="004578CF"/>
    <w:rsid w:val="0047699F"/>
    <w:rsid w:val="00477940"/>
    <w:rsid w:val="00482606"/>
    <w:rsid w:val="00485E5B"/>
    <w:rsid w:val="004B775F"/>
    <w:rsid w:val="004C1F8F"/>
    <w:rsid w:val="004C4C70"/>
    <w:rsid w:val="004C75B8"/>
    <w:rsid w:val="004C79C4"/>
    <w:rsid w:val="004D00DB"/>
    <w:rsid w:val="004F2C7F"/>
    <w:rsid w:val="004F6B06"/>
    <w:rsid w:val="00501F5E"/>
    <w:rsid w:val="00502E42"/>
    <w:rsid w:val="00520968"/>
    <w:rsid w:val="00530C40"/>
    <w:rsid w:val="00532C7C"/>
    <w:rsid w:val="0054327B"/>
    <w:rsid w:val="00553556"/>
    <w:rsid w:val="00560DA4"/>
    <w:rsid w:val="00567145"/>
    <w:rsid w:val="005740F8"/>
    <w:rsid w:val="00582C46"/>
    <w:rsid w:val="00584C80"/>
    <w:rsid w:val="00586BCB"/>
    <w:rsid w:val="00587B45"/>
    <w:rsid w:val="0059604D"/>
    <w:rsid w:val="005A7385"/>
    <w:rsid w:val="005B1456"/>
    <w:rsid w:val="005C0958"/>
    <w:rsid w:val="005D2AA0"/>
    <w:rsid w:val="005E6022"/>
    <w:rsid w:val="005E69D9"/>
    <w:rsid w:val="005F0724"/>
    <w:rsid w:val="005F4EFE"/>
    <w:rsid w:val="005F648B"/>
    <w:rsid w:val="005F6A89"/>
    <w:rsid w:val="006152F6"/>
    <w:rsid w:val="00624515"/>
    <w:rsid w:val="006276D4"/>
    <w:rsid w:val="006277E2"/>
    <w:rsid w:val="00642F55"/>
    <w:rsid w:val="006452EF"/>
    <w:rsid w:val="00655FD5"/>
    <w:rsid w:val="0066120D"/>
    <w:rsid w:val="0067218E"/>
    <w:rsid w:val="006837D0"/>
    <w:rsid w:val="006A0B31"/>
    <w:rsid w:val="006A0C22"/>
    <w:rsid w:val="006B0FCC"/>
    <w:rsid w:val="006B319F"/>
    <w:rsid w:val="006B61F7"/>
    <w:rsid w:val="006C12B0"/>
    <w:rsid w:val="006C398F"/>
    <w:rsid w:val="006C5C0C"/>
    <w:rsid w:val="006D3EF3"/>
    <w:rsid w:val="006D5003"/>
    <w:rsid w:val="006D7823"/>
    <w:rsid w:val="006E0C0A"/>
    <w:rsid w:val="006F6244"/>
    <w:rsid w:val="00706C0E"/>
    <w:rsid w:val="00714194"/>
    <w:rsid w:val="00717AA0"/>
    <w:rsid w:val="007204CB"/>
    <w:rsid w:val="0072240F"/>
    <w:rsid w:val="00723B92"/>
    <w:rsid w:val="00726A52"/>
    <w:rsid w:val="00727B37"/>
    <w:rsid w:val="00736FAA"/>
    <w:rsid w:val="00744636"/>
    <w:rsid w:val="00744BFB"/>
    <w:rsid w:val="007621A2"/>
    <w:rsid w:val="007650E9"/>
    <w:rsid w:val="00771FA9"/>
    <w:rsid w:val="00774D95"/>
    <w:rsid w:val="00782C61"/>
    <w:rsid w:val="00791EEA"/>
    <w:rsid w:val="00793E62"/>
    <w:rsid w:val="007B50C2"/>
    <w:rsid w:val="007B66E7"/>
    <w:rsid w:val="007C62B2"/>
    <w:rsid w:val="007C7F20"/>
    <w:rsid w:val="007D2029"/>
    <w:rsid w:val="007D7296"/>
    <w:rsid w:val="007D7E47"/>
    <w:rsid w:val="007E1752"/>
    <w:rsid w:val="007E31CD"/>
    <w:rsid w:val="007E770D"/>
    <w:rsid w:val="0080220C"/>
    <w:rsid w:val="00810E9E"/>
    <w:rsid w:val="00822671"/>
    <w:rsid w:val="00825F47"/>
    <w:rsid w:val="00830594"/>
    <w:rsid w:val="00847D93"/>
    <w:rsid w:val="00850E12"/>
    <w:rsid w:val="00855E59"/>
    <w:rsid w:val="008636D1"/>
    <w:rsid w:val="008645B0"/>
    <w:rsid w:val="00873F25"/>
    <w:rsid w:val="008744E5"/>
    <w:rsid w:val="008764E0"/>
    <w:rsid w:val="0088235A"/>
    <w:rsid w:val="00887526"/>
    <w:rsid w:val="00890DA6"/>
    <w:rsid w:val="00892C28"/>
    <w:rsid w:val="00894F57"/>
    <w:rsid w:val="008A6223"/>
    <w:rsid w:val="008B0F52"/>
    <w:rsid w:val="008B173C"/>
    <w:rsid w:val="008B75E8"/>
    <w:rsid w:val="008C3667"/>
    <w:rsid w:val="008C7833"/>
    <w:rsid w:val="008D7837"/>
    <w:rsid w:val="008F5D4E"/>
    <w:rsid w:val="0090723F"/>
    <w:rsid w:val="0091023B"/>
    <w:rsid w:val="009123B2"/>
    <w:rsid w:val="009124EB"/>
    <w:rsid w:val="00942696"/>
    <w:rsid w:val="00951C13"/>
    <w:rsid w:val="00955DF9"/>
    <w:rsid w:val="0095643A"/>
    <w:rsid w:val="0095652E"/>
    <w:rsid w:val="0095785A"/>
    <w:rsid w:val="00962213"/>
    <w:rsid w:val="009702DB"/>
    <w:rsid w:val="00973DA8"/>
    <w:rsid w:val="0097489B"/>
    <w:rsid w:val="0097553F"/>
    <w:rsid w:val="00986819"/>
    <w:rsid w:val="009A00F4"/>
    <w:rsid w:val="009A06F4"/>
    <w:rsid w:val="009A0E4E"/>
    <w:rsid w:val="009A7AE8"/>
    <w:rsid w:val="009B498F"/>
    <w:rsid w:val="009C1E1A"/>
    <w:rsid w:val="009C2389"/>
    <w:rsid w:val="009C681D"/>
    <w:rsid w:val="009D0BCB"/>
    <w:rsid w:val="009D0E6B"/>
    <w:rsid w:val="009D222A"/>
    <w:rsid w:val="009D25AF"/>
    <w:rsid w:val="009D59B1"/>
    <w:rsid w:val="009D6079"/>
    <w:rsid w:val="009E0C13"/>
    <w:rsid w:val="009E39BE"/>
    <w:rsid w:val="009E5DBA"/>
    <w:rsid w:val="009F548C"/>
    <w:rsid w:val="009F5BFE"/>
    <w:rsid w:val="00A01B9F"/>
    <w:rsid w:val="00A052C3"/>
    <w:rsid w:val="00A05C1E"/>
    <w:rsid w:val="00A3632B"/>
    <w:rsid w:val="00A40FB9"/>
    <w:rsid w:val="00A54222"/>
    <w:rsid w:val="00A570C6"/>
    <w:rsid w:val="00A6411A"/>
    <w:rsid w:val="00A64F32"/>
    <w:rsid w:val="00A67EC6"/>
    <w:rsid w:val="00A72FEA"/>
    <w:rsid w:val="00A845EC"/>
    <w:rsid w:val="00A94F74"/>
    <w:rsid w:val="00A96027"/>
    <w:rsid w:val="00AB0228"/>
    <w:rsid w:val="00AC6348"/>
    <w:rsid w:val="00AD3745"/>
    <w:rsid w:val="00AD3FB6"/>
    <w:rsid w:val="00AD7307"/>
    <w:rsid w:val="00AE1903"/>
    <w:rsid w:val="00AE310D"/>
    <w:rsid w:val="00AE4AF4"/>
    <w:rsid w:val="00AF6865"/>
    <w:rsid w:val="00B04DE8"/>
    <w:rsid w:val="00B11FDE"/>
    <w:rsid w:val="00B3203F"/>
    <w:rsid w:val="00B662AF"/>
    <w:rsid w:val="00B70D97"/>
    <w:rsid w:val="00B720AF"/>
    <w:rsid w:val="00B816DE"/>
    <w:rsid w:val="00B81BF9"/>
    <w:rsid w:val="00B909E5"/>
    <w:rsid w:val="00B9661F"/>
    <w:rsid w:val="00B96F7D"/>
    <w:rsid w:val="00BA5017"/>
    <w:rsid w:val="00BA76CA"/>
    <w:rsid w:val="00BA7762"/>
    <w:rsid w:val="00BA7E53"/>
    <w:rsid w:val="00BB0016"/>
    <w:rsid w:val="00BB40AD"/>
    <w:rsid w:val="00BC411B"/>
    <w:rsid w:val="00BC7CE8"/>
    <w:rsid w:val="00BE5562"/>
    <w:rsid w:val="00BE6B60"/>
    <w:rsid w:val="00C01792"/>
    <w:rsid w:val="00C17B0D"/>
    <w:rsid w:val="00C23AC9"/>
    <w:rsid w:val="00C25FA7"/>
    <w:rsid w:val="00C304AB"/>
    <w:rsid w:val="00C34565"/>
    <w:rsid w:val="00C35264"/>
    <w:rsid w:val="00C44643"/>
    <w:rsid w:val="00C52CBC"/>
    <w:rsid w:val="00C57808"/>
    <w:rsid w:val="00C74694"/>
    <w:rsid w:val="00C74BD7"/>
    <w:rsid w:val="00CA0FEC"/>
    <w:rsid w:val="00CB2414"/>
    <w:rsid w:val="00CC7231"/>
    <w:rsid w:val="00CD75F2"/>
    <w:rsid w:val="00CE5036"/>
    <w:rsid w:val="00CE7E19"/>
    <w:rsid w:val="00CF0458"/>
    <w:rsid w:val="00CF0BE6"/>
    <w:rsid w:val="00CF7BE9"/>
    <w:rsid w:val="00D03774"/>
    <w:rsid w:val="00D04F79"/>
    <w:rsid w:val="00D21076"/>
    <w:rsid w:val="00D4028A"/>
    <w:rsid w:val="00D54251"/>
    <w:rsid w:val="00D63D52"/>
    <w:rsid w:val="00D64F28"/>
    <w:rsid w:val="00D77A71"/>
    <w:rsid w:val="00D810E1"/>
    <w:rsid w:val="00D85194"/>
    <w:rsid w:val="00D87B85"/>
    <w:rsid w:val="00D91973"/>
    <w:rsid w:val="00DA00C2"/>
    <w:rsid w:val="00DB29E1"/>
    <w:rsid w:val="00DB3B6B"/>
    <w:rsid w:val="00DB3EC0"/>
    <w:rsid w:val="00DB66A5"/>
    <w:rsid w:val="00DC6224"/>
    <w:rsid w:val="00DE406D"/>
    <w:rsid w:val="00DE4A31"/>
    <w:rsid w:val="00DF3321"/>
    <w:rsid w:val="00E120BA"/>
    <w:rsid w:val="00E1564C"/>
    <w:rsid w:val="00E17A0D"/>
    <w:rsid w:val="00E216F1"/>
    <w:rsid w:val="00E21C8C"/>
    <w:rsid w:val="00E25669"/>
    <w:rsid w:val="00E377B3"/>
    <w:rsid w:val="00E45AF7"/>
    <w:rsid w:val="00E744CB"/>
    <w:rsid w:val="00E74AAD"/>
    <w:rsid w:val="00E763E7"/>
    <w:rsid w:val="00E84F67"/>
    <w:rsid w:val="00E9336C"/>
    <w:rsid w:val="00E9755C"/>
    <w:rsid w:val="00EA57E1"/>
    <w:rsid w:val="00EB463B"/>
    <w:rsid w:val="00EC1327"/>
    <w:rsid w:val="00EC317F"/>
    <w:rsid w:val="00EC5A4D"/>
    <w:rsid w:val="00EC7311"/>
    <w:rsid w:val="00EC7DAB"/>
    <w:rsid w:val="00ED28A3"/>
    <w:rsid w:val="00ED2AF7"/>
    <w:rsid w:val="00ED37CA"/>
    <w:rsid w:val="00EE1C8D"/>
    <w:rsid w:val="00EE27E5"/>
    <w:rsid w:val="00EE329B"/>
    <w:rsid w:val="00EF6078"/>
    <w:rsid w:val="00F07144"/>
    <w:rsid w:val="00F251EC"/>
    <w:rsid w:val="00F31502"/>
    <w:rsid w:val="00F343F8"/>
    <w:rsid w:val="00F37196"/>
    <w:rsid w:val="00F437BB"/>
    <w:rsid w:val="00F468EB"/>
    <w:rsid w:val="00F5201A"/>
    <w:rsid w:val="00F56B8B"/>
    <w:rsid w:val="00F577FE"/>
    <w:rsid w:val="00F61547"/>
    <w:rsid w:val="00F61D7F"/>
    <w:rsid w:val="00F642D8"/>
    <w:rsid w:val="00F727DA"/>
    <w:rsid w:val="00F8113A"/>
    <w:rsid w:val="00F93448"/>
    <w:rsid w:val="00FA0998"/>
    <w:rsid w:val="00FA1004"/>
    <w:rsid w:val="00FB5422"/>
    <w:rsid w:val="00FB616F"/>
    <w:rsid w:val="00FB72ED"/>
    <w:rsid w:val="00FC7D5A"/>
    <w:rsid w:val="00FD0A45"/>
    <w:rsid w:val="00FE07DC"/>
    <w:rsid w:val="00FE30D6"/>
    <w:rsid w:val="00FF211D"/>
    <w:rsid w:val="00FF2B1C"/>
    <w:rsid w:val="00FF4E1D"/>
    <w:rsid w:val="00FF5416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B7F9EB"/>
  <w14:defaultImageDpi w14:val="300"/>
  <w15:docId w15:val="{F300F51E-C67C-4EA9-89D4-D85C0B6E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2004"/>
    <w:rPr>
      <w:rFonts w:ascii="Arial" w:eastAsia="Times New Roman" w:hAnsi="Arial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1F2004"/>
  </w:style>
  <w:style w:type="paragraph" w:styleId="Encabezado">
    <w:name w:val="header"/>
    <w:basedOn w:val="Normal"/>
    <w:link w:val="EncabezadoCar"/>
    <w:rsid w:val="001F2004"/>
    <w:pPr>
      <w:tabs>
        <w:tab w:val="center" w:pos="4320"/>
        <w:tab w:val="right" w:pos="8640"/>
      </w:tabs>
      <w:jc w:val="both"/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F2004"/>
    <w:rPr>
      <w:rFonts w:ascii="Arial" w:eastAsia="Times New Roman" w:hAnsi="Arial" w:cs="Times New Roman"/>
      <w:sz w:val="20"/>
      <w:szCs w:val="20"/>
    </w:rPr>
  </w:style>
  <w:style w:type="paragraph" w:styleId="Piedepgina">
    <w:name w:val="footer"/>
    <w:basedOn w:val="Normal"/>
    <w:link w:val="PiedepginaCar"/>
    <w:rsid w:val="001F2004"/>
    <w:pPr>
      <w:tabs>
        <w:tab w:val="center" w:pos="4320"/>
        <w:tab w:val="right" w:pos="8640"/>
      </w:tabs>
      <w:jc w:val="both"/>
    </w:pPr>
    <w:rPr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1F2004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rsid w:val="001F2004"/>
    <w:pPr>
      <w:spacing w:before="100" w:beforeAutospacing="1" w:after="100" w:afterAutospacing="1"/>
    </w:pPr>
    <w:rPr>
      <w:rFonts w:ascii="Arial Unicode MS" w:eastAsia="Arial Unicode MS" w:hAnsi="Arial Unicode MS" w:cs="Astaire"/>
    </w:rPr>
  </w:style>
  <w:style w:type="paragraph" w:customStyle="1" w:styleId="Textoindependiente21">
    <w:name w:val="Texto independiente 21"/>
    <w:basedOn w:val="Normal"/>
    <w:rsid w:val="001F2004"/>
    <w:pPr>
      <w:suppressAutoHyphens/>
      <w:jc w:val="center"/>
    </w:pPr>
    <w:rPr>
      <w:spacing w:val="-3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1F20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0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004"/>
    <w:rPr>
      <w:rFonts w:ascii="Tahoma" w:eastAsia="Times New Roman" w:hAnsi="Tahoma" w:cs="Tahoma"/>
      <w:sz w:val="16"/>
      <w:szCs w:val="16"/>
      <w:lang w:val="es-ES"/>
    </w:rPr>
  </w:style>
  <w:style w:type="paragraph" w:customStyle="1" w:styleId="Default">
    <w:name w:val="Default"/>
    <w:rsid w:val="001F2004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table" w:styleId="Tablaconcuadrcula">
    <w:name w:val="Table Grid"/>
    <w:basedOn w:val="Tablanormal"/>
    <w:uiPriority w:val="59"/>
    <w:rsid w:val="001F200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F2004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1F2004"/>
    <w:rPr>
      <w:rFonts w:eastAsia="Arial" w:cs="Arial"/>
      <w:color w:val="000000"/>
      <w:lang w:val="es-CO"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F2004"/>
    <w:rPr>
      <w:rFonts w:ascii="Arial" w:eastAsia="Arial" w:hAnsi="Arial" w:cs="Arial"/>
      <w:color w:val="000000"/>
      <w:lang w:val="es-CO" w:eastAsia="es-CO"/>
    </w:rPr>
  </w:style>
  <w:style w:type="character" w:customStyle="1" w:styleId="PrrafodelistaCar">
    <w:name w:val="Párrafo de lista Car"/>
    <w:link w:val="Prrafodelista"/>
    <w:uiPriority w:val="72"/>
    <w:locked/>
    <w:rsid w:val="001F2004"/>
    <w:rPr>
      <w:rFonts w:ascii="Arial" w:eastAsia="Times New Roman" w:hAnsi="Arial" w:cs="Times New Roman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2004"/>
    <w:rPr>
      <w:rFonts w:eastAsia="Times New Roman" w:cs="Times New Roman"/>
      <w:b/>
      <w:bCs/>
      <w:color w:val="auto"/>
      <w:sz w:val="20"/>
      <w:szCs w:val="20"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2004"/>
    <w:rPr>
      <w:rFonts w:ascii="Arial" w:eastAsia="Times New Roman" w:hAnsi="Arial" w:cs="Times New Roman"/>
      <w:b/>
      <w:bCs/>
      <w:color w:val="000000"/>
      <w:sz w:val="20"/>
      <w:szCs w:val="20"/>
      <w:lang w:val="es-ES"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200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2004"/>
    <w:rPr>
      <w:rFonts w:ascii="Arial" w:eastAsia="Times New Roman" w:hAnsi="Arial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F2004"/>
    <w:rPr>
      <w:vertAlign w:val="superscript"/>
    </w:rPr>
  </w:style>
  <w:style w:type="paragraph" w:styleId="Revisin">
    <w:name w:val="Revision"/>
    <w:hidden/>
    <w:uiPriority w:val="99"/>
    <w:semiHidden/>
    <w:rsid w:val="001F2004"/>
    <w:rPr>
      <w:rFonts w:ascii="Arial" w:eastAsia="Times New Roman" w:hAnsi="Arial" w:cs="Times New Roman"/>
      <w:lang w:val="es-ES"/>
    </w:rPr>
  </w:style>
  <w:style w:type="paragraph" w:customStyle="1" w:styleId="CM19">
    <w:name w:val="CM19"/>
    <w:basedOn w:val="Default"/>
    <w:next w:val="Default"/>
    <w:uiPriority w:val="99"/>
    <w:rsid w:val="00255099"/>
    <w:rPr>
      <w:rFonts w:eastAsiaTheme="minorEastAsia"/>
      <w:color w:val="auto"/>
      <w:lang w:eastAsia="es-ES"/>
    </w:rPr>
  </w:style>
  <w:style w:type="paragraph" w:customStyle="1" w:styleId="CM6">
    <w:name w:val="CM6"/>
    <w:basedOn w:val="Default"/>
    <w:next w:val="Default"/>
    <w:uiPriority w:val="99"/>
    <w:rsid w:val="00255099"/>
    <w:pPr>
      <w:spacing w:line="278" w:lineRule="atLeast"/>
    </w:pPr>
    <w:rPr>
      <w:rFonts w:eastAsiaTheme="minorEastAsia"/>
      <w:color w:val="auto"/>
      <w:lang w:eastAsia="es-ES"/>
    </w:rPr>
  </w:style>
  <w:style w:type="paragraph" w:customStyle="1" w:styleId="Sinespaciado1">
    <w:name w:val="Sin espaciado1"/>
    <w:qFormat/>
    <w:rsid w:val="00F56B8B"/>
    <w:rPr>
      <w:rFonts w:ascii="Calibri" w:eastAsia="Times New Roman" w:hAnsi="Calibri" w:cs="Calibri"/>
      <w:sz w:val="22"/>
      <w:szCs w:val="22"/>
      <w:lang w:val="es-CO" w:eastAsia="en-US"/>
    </w:rPr>
  </w:style>
  <w:style w:type="character" w:styleId="Hipervnculo">
    <w:name w:val="Hyperlink"/>
    <w:uiPriority w:val="99"/>
    <w:unhideWhenUsed/>
    <w:rsid w:val="00873F25"/>
    <w:rPr>
      <w:color w:val="0000FF"/>
      <w:u w:val="single"/>
    </w:rPr>
  </w:style>
  <w:style w:type="character" w:customStyle="1" w:styleId="baj">
    <w:name w:val="b_aj"/>
    <w:basedOn w:val="Fuentedeprrafopredeter"/>
    <w:rsid w:val="007E31CD"/>
  </w:style>
  <w:style w:type="character" w:customStyle="1" w:styleId="apple-converted-space">
    <w:name w:val="apple-converted-space"/>
    <w:basedOn w:val="Fuentedeprrafopredeter"/>
    <w:rsid w:val="007E3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854E67-2340-405C-A2AF-CE4E3BA0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808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Alfonso Viasus Pineda</dc:creator>
  <cp:lastModifiedBy>Diego Escallon Arango</cp:lastModifiedBy>
  <cp:revision>3</cp:revision>
  <cp:lastPrinted>2015-09-22T22:36:00Z</cp:lastPrinted>
  <dcterms:created xsi:type="dcterms:W3CDTF">2017-01-18T21:12:00Z</dcterms:created>
  <dcterms:modified xsi:type="dcterms:W3CDTF">2017-01-18T22:21:00Z</dcterms:modified>
  <cp:version>1</cp:version>
</cp:coreProperties>
</file>